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Муниципальное бюджетное дошкольное образовательное учреждение</w:t>
      </w:r>
    </w:p>
    <w:p w14:paraId="02000000">
      <w:pPr>
        <w:pStyle w:val="Style_1"/>
        <w:ind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№18 «Мишутка»</w:t>
      </w:r>
    </w:p>
    <w:p w14:paraId="03000000">
      <w:pPr>
        <w:pStyle w:val="Style_1"/>
        <w:ind/>
        <w:jc w:val="center"/>
        <w:rPr>
          <w:rFonts w:ascii="Times New Roman" w:hAnsi="Times New Roman"/>
          <w:color w:val="000000"/>
          <w:sz w:val="32"/>
        </w:rPr>
      </w:pPr>
    </w:p>
    <w:p w14:paraId="04000000">
      <w:pPr>
        <w:pStyle w:val="Style_1"/>
        <w:ind/>
        <w:jc w:val="center"/>
        <w:rPr>
          <w:rFonts w:ascii="Times New Roman" w:hAnsi="Times New Roman"/>
          <w:color w:val="000000"/>
          <w:sz w:val="32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color w:val="000000"/>
          <w:sz w:val="32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color w:val="000000"/>
          <w:sz w:val="32"/>
        </w:rPr>
      </w:pPr>
    </w:p>
    <w:p w14:paraId="07000000">
      <w:pPr>
        <w:pStyle w:val="Style_1"/>
        <w:ind/>
        <w:jc w:val="center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План самообразования</w:t>
      </w:r>
    </w:p>
    <w:p w14:paraId="08000000">
      <w:pPr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Тема: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«</w:t>
      </w:r>
      <w:r>
        <w:rPr>
          <w:rFonts w:ascii="Times New Roman" w:hAnsi="Times New Roman"/>
          <w:sz w:val="32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b w:val="1"/>
          <w:color w:val="000000"/>
          <w:sz w:val="32"/>
        </w:rPr>
        <w:t>»</w:t>
      </w:r>
    </w:p>
    <w:p w14:paraId="09000000">
      <w:pPr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000000"/>
          <w:sz w:val="32"/>
        </w:rPr>
        <w:t>на 2024 - 2025 учебный год</w:t>
      </w:r>
    </w:p>
    <w:p w14:paraId="0A000000">
      <w:pPr>
        <w:pStyle w:val="Style_1"/>
        <w:rPr>
          <w:rFonts w:ascii="Times New Roman" w:hAnsi="Times New Roman"/>
          <w:color w:val="000000"/>
          <w:sz w:val="32"/>
        </w:rPr>
      </w:pPr>
    </w:p>
    <w:p w14:paraId="0B000000">
      <w:pPr>
        <w:pStyle w:val="Style_1"/>
        <w:rPr>
          <w:rFonts w:ascii="Times New Roman" w:hAnsi="Times New Roman"/>
          <w:color w:val="000000"/>
          <w:sz w:val="32"/>
        </w:rPr>
      </w:pPr>
    </w:p>
    <w:p w14:paraId="0C000000">
      <w:pPr>
        <w:pStyle w:val="Style_1"/>
        <w:rPr>
          <w:rFonts w:ascii="Times New Roman" w:hAnsi="Times New Roman"/>
          <w:color w:val="000000"/>
          <w:sz w:val="32"/>
        </w:rPr>
      </w:pPr>
    </w:p>
    <w:p w14:paraId="0D000000">
      <w:pPr>
        <w:pStyle w:val="Style_1"/>
        <w:rPr>
          <w:rFonts w:ascii="Times New Roman" w:hAnsi="Times New Roman"/>
          <w:color w:val="000000"/>
          <w:sz w:val="32"/>
        </w:rPr>
      </w:pPr>
    </w:p>
    <w:p w14:paraId="0E000000">
      <w:pPr>
        <w:pStyle w:val="Style_1"/>
        <w:rPr>
          <w:rFonts w:ascii="Times New Roman" w:hAnsi="Times New Roman"/>
          <w:color w:val="000000"/>
          <w:sz w:val="32"/>
        </w:rPr>
      </w:pPr>
    </w:p>
    <w:p w14:paraId="0F000000">
      <w:pPr>
        <w:pStyle w:val="Style_1"/>
        <w:rPr>
          <w:rFonts w:ascii="Times New Roman" w:hAnsi="Times New Roman"/>
          <w:color w:val="000000"/>
          <w:sz w:val="32"/>
        </w:rPr>
      </w:pPr>
    </w:p>
    <w:p w14:paraId="10000000">
      <w:pPr>
        <w:pStyle w:val="Style_1"/>
        <w:rPr>
          <w:rFonts w:ascii="Times New Roman" w:hAnsi="Times New Roman"/>
          <w:color w:val="000000"/>
          <w:sz w:val="32"/>
        </w:rPr>
      </w:pPr>
    </w:p>
    <w:p w14:paraId="11000000">
      <w:pPr>
        <w:pStyle w:val="Style_1"/>
        <w:ind/>
        <w:jc w:val="right"/>
        <w:rPr>
          <w:rFonts w:ascii="Times New Roman" w:hAnsi="Times New Roman"/>
          <w:color w:val="000000"/>
          <w:sz w:val="32"/>
        </w:rPr>
      </w:pPr>
    </w:p>
    <w:p w14:paraId="12000000">
      <w:pPr>
        <w:pStyle w:val="Style_1"/>
        <w:ind/>
        <w:jc w:val="right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Воспитатель:</w:t>
      </w:r>
    </w:p>
    <w:p w14:paraId="13000000">
      <w:pPr>
        <w:pStyle w:val="Style_1"/>
        <w:ind/>
        <w:jc w:val="right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Масленцева Ирина Андреевна</w:t>
      </w:r>
    </w:p>
    <w:p w14:paraId="14000000">
      <w:pPr>
        <w:pStyle w:val="Style_1"/>
        <w:rPr>
          <w:color w:val="000000"/>
          <w:sz w:val="32"/>
        </w:rPr>
      </w:pPr>
      <w:r>
        <w:rPr>
          <w:color w:val="000000"/>
          <w:sz w:val="32"/>
        </w:rPr>
        <w:t xml:space="preserve">                                      </w:t>
      </w:r>
    </w:p>
    <w:p w14:paraId="15000000">
      <w:pPr>
        <w:pStyle w:val="Style_1"/>
        <w:rPr>
          <w:color w:val="000000"/>
          <w:sz w:val="32"/>
        </w:rPr>
      </w:pPr>
    </w:p>
    <w:p w14:paraId="16000000">
      <w:pPr>
        <w:pStyle w:val="Style_1"/>
        <w:rPr>
          <w:color w:val="000000"/>
          <w:sz w:val="32"/>
        </w:rPr>
      </w:pPr>
      <w:r>
        <w:rPr>
          <w:color w:val="000000"/>
          <w:sz w:val="32"/>
        </w:rPr>
        <w:t xml:space="preserve">                                          </w:t>
      </w:r>
      <w:r>
        <w:rPr>
          <w:rFonts w:ascii="Times New Roman" w:hAnsi="Times New Roman"/>
          <w:b w:val="1"/>
          <w:color w:val="000000"/>
          <w:sz w:val="27"/>
        </w:rPr>
        <w:t>г. Сургут  2024 – 2025 учебный год</w:t>
      </w:r>
    </w:p>
    <w:p w14:paraId="17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19000000">
      <w:pPr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Актуальность. </w:t>
      </w:r>
    </w:p>
    <w:p w14:paraId="1A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Актуальность преемственности ДОУ и школы обусловлена положениями Федерального закона «Об образовании в Российской Федерации, согласно которому дошкольное образование направлено на формирование общей культуры, развитие физических и личностных качеств, формирование предаосылок учебной деятельности.</w:t>
      </w:r>
    </w:p>
    <w:p w14:paraId="1B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Одним из приоритетных направлений является подготовка воспитанников к школе, обеспечение равных возможностей для обучения детей в общеобразовательных учреждениях. Использование на практике этих направлений способствует:</w:t>
      </w:r>
    </w:p>
    <w:p w14:paraId="1C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- интеллектуальному развитию ребенка;</w:t>
      </w:r>
    </w:p>
    <w:p w14:paraId="1D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- коррекции психических процессов и личностной сферы дошкольников;</w:t>
      </w:r>
    </w:p>
    <w:p w14:paraId="1E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- развивает уверенность в своих силах;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Учит детей свободно выражать свои чувства и мысли.</w:t>
      </w:r>
    </w:p>
    <w:p w14:paraId="20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</w:p>
    <w:p w14:paraId="21000000">
      <w:pPr>
        <w:spacing w:after="150" w:line="240" w:lineRule="auto"/>
        <w:ind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Как сделать дистанционное обучение эффективным?</w:t>
      </w:r>
    </w:p>
    <w:p w14:paraId="22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1. Составить расписание онлайн занятий:</w:t>
      </w:r>
    </w:p>
    <w:p w14:paraId="23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 консультацию педагога;</w:t>
      </w:r>
    </w:p>
    <w:p w14:paraId="24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14:paraId="25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2. Вовлекайте ребенка постепенно:</w:t>
      </w:r>
    </w:p>
    <w:p w14:paraId="26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сначала маме следует просмотреть материал самостоятельно;</w:t>
      </w:r>
    </w:p>
    <w:p w14:paraId="27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затем включить материал для ребенка, помня о том, что для дошкольника онлайн обучение не урок, а игра, развлечение;</w:t>
      </w:r>
    </w:p>
    <w:p w14:paraId="28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3. Направляйте, но не указывайте:</w:t>
      </w:r>
    </w:p>
    <w:p w14:paraId="29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договоритесь с ребенком, в какое время он будет заниматься;</w:t>
      </w:r>
    </w:p>
    <w:p w14:paraId="2A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 ненавязчиво контролируйте процесс обучения: интересуйтесь, все ли ребенку понятно, нравится ли ему, сложные ли задания;</w:t>
      </w:r>
    </w:p>
    <w:p w14:paraId="2B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Срок работы над темой:</w:t>
      </w:r>
      <w:r>
        <w:rPr>
          <w:rFonts w:ascii="Times New Roman" w:hAnsi="Times New Roman"/>
          <w:sz w:val="28"/>
        </w:rPr>
        <w:t xml:space="preserve"> сентябрь </w:t>
      </w:r>
      <w:r>
        <w:rPr>
          <w:rFonts w:ascii="Times New Roman" w:hAnsi="Times New Roman"/>
          <w:sz w:val="28"/>
        </w:rPr>
        <w:t>2024 г</w:t>
      </w:r>
      <w:r>
        <w:rPr>
          <w:rFonts w:ascii="Times New Roman" w:hAnsi="Times New Roman"/>
          <w:sz w:val="28"/>
        </w:rPr>
        <w:t xml:space="preserve">. – май </w:t>
      </w:r>
      <w:r>
        <w:rPr>
          <w:rFonts w:ascii="Times New Roman" w:hAnsi="Times New Roman"/>
          <w:sz w:val="28"/>
        </w:rPr>
        <w:t>2025 г</w:t>
      </w:r>
      <w:r>
        <w:rPr>
          <w:rFonts w:ascii="Times New Roman" w:hAnsi="Times New Roman"/>
          <w:sz w:val="28"/>
        </w:rPr>
        <w:t>.</w:t>
      </w:r>
    </w:p>
    <w:p w14:paraId="2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Возраст детей</w:t>
      </w:r>
      <w:r>
        <w:rPr>
          <w:rFonts w:ascii="Times New Roman" w:hAnsi="Times New Roman"/>
          <w:sz w:val="28"/>
        </w:rPr>
        <w:t>: 4-5года.</w:t>
      </w:r>
    </w:p>
    <w:p w14:paraId="2E000000">
      <w:pPr>
        <w:spacing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28"/>
          <w:highlight w:val="white"/>
        </w:rPr>
        <w:t>Тема самообразования</w:t>
      </w:r>
      <w:r>
        <w:rPr>
          <w:rFonts w:ascii="Times New Roman" w:hAnsi="Times New Roman"/>
          <w:i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– </w:t>
      </w: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sz w:val="28"/>
          <w:highlight w:val="white"/>
        </w:rPr>
        <w:t>Преемственность дошкольного и начального общего образования посредством дистанционного обучения</w:t>
      </w:r>
      <w:r>
        <w:rPr>
          <w:rFonts w:ascii="Times New Roman" w:hAnsi="Times New Roman"/>
          <w:b w:val="1"/>
          <w:sz w:val="28"/>
          <w:highlight w:val="white"/>
        </w:rPr>
        <w:t>»</w:t>
      </w:r>
    </w:p>
    <w:p w14:paraId="2F000000">
      <w:pPr>
        <w:widowControl w:val="0"/>
        <w:spacing w:line="24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Работа начата </w:t>
      </w:r>
      <w:r>
        <w:rPr>
          <w:rFonts w:ascii="Times New Roman" w:hAnsi="Times New Roman"/>
          <w:sz w:val="28"/>
          <w:highlight w:val="white"/>
        </w:rPr>
        <w:t>- сентябрь 2024года</w:t>
      </w:r>
    </w:p>
    <w:p w14:paraId="30000000">
      <w:pPr>
        <w:widowControl w:val="0"/>
        <w:spacing w:line="240" w:lineRule="auto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Предполагается закончить</w:t>
      </w:r>
      <w:r>
        <w:rPr>
          <w:rFonts w:ascii="Times New Roman" w:hAnsi="Times New Roman"/>
          <w:sz w:val="28"/>
          <w:highlight w:val="white"/>
        </w:rPr>
        <w:t xml:space="preserve"> – май  2025 года</w:t>
      </w:r>
    </w:p>
    <w:p w14:paraId="31000000">
      <w:pPr>
        <w:pStyle w:val="Style_2"/>
        <w:spacing w:after="0" w:before="0"/>
        <w:ind/>
        <w:jc w:val="both"/>
        <w:rPr>
          <w:rFonts w:ascii="Calibri" w:hAnsi="Calibri"/>
          <w:color w:val="000000"/>
          <w:sz w:val="22"/>
        </w:rPr>
      </w:pPr>
      <w:r>
        <w:rPr>
          <w:rStyle w:val="Style_3_ch"/>
          <w:b w:val="1"/>
          <w:color w:val="000000"/>
          <w:sz w:val="28"/>
        </w:rPr>
        <w:t>Цель</w:t>
      </w:r>
      <w:r>
        <w:rPr>
          <w:rStyle w:val="Style_3_ch"/>
          <w:color w:val="000000"/>
          <w:sz w:val="28"/>
        </w:rPr>
        <w:t>:</w:t>
      </w:r>
      <w:r>
        <w:rPr>
          <w:rFonts w:ascii="Calibri" w:hAnsi="Calibri"/>
          <w:color w:val="000000"/>
          <w:sz w:val="22"/>
        </w:rPr>
        <w:t xml:space="preserve"> </w:t>
      </w:r>
      <w:r>
        <w:rPr>
          <w:rStyle w:val="Style_4_ch"/>
          <w:color w:val="000000"/>
          <w:sz w:val="28"/>
        </w:rPr>
        <w:t xml:space="preserve">Повышение своего теоретического уровня, профессионального мастерства и компетентности по вопросу </w:t>
      </w:r>
      <w:r>
        <w:rPr>
          <w:sz w:val="28"/>
          <w:highlight w:val="white"/>
        </w:rPr>
        <w:t>п</w:t>
      </w:r>
      <w:r>
        <w:rPr>
          <w:sz w:val="28"/>
          <w:highlight w:val="white"/>
        </w:rPr>
        <w:t>реемственность дошкольного и начального общего образования посредством дистанционного обучения</w:t>
      </w:r>
      <w:r>
        <w:rPr>
          <w:rStyle w:val="Style_4_ch"/>
          <w:color w:val="000000"/>
          <w:sz w:val="28"/>
        </w:rPr>
        <w:t>.</w:t>
      </w:r>
    </w:p>
    <w:p w14:paraId="32000000">
      <w:pPr>
        <w:spacing w:after="150" w:line="240" w:lineRule="auto"/>
        <w:ind/>
        <w:jc w:val="both"/>
        <w:rPr>
          <w:rFonts w:ascii="Times New Roman" w:hAnsi="Times New Roman"/>
          <w:sz w:val="28"/>
          <w:highlight w:val="white"/>
        </w:rPr>
      </w:pPr>
    </w:p>
    <w:p w14:paraId="33000000">
      <w:pPr>
        <w:spacing w:after="15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Задачи: </w:t>
      </w:r>
    </w:p>
    <w:p w14:paraId="34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</w:t>
      </w:r>
      <w:r>
        <w:rPr>
          <w:rFonts w:ascii="Times New Roman" w:hAnsi="Times New Roman"/>
          <w:sz w:val="28"/>
        </w:rPr>
        <w:t xml:space="preserve">овысить собственный уровень знаний путем изучения литературы по заданной тематике: программа по подготовке к школе детей 5-7 лет «Преемственность – М.: Просвещение </w:t>
      </w:r>
      <w:r>
        <w:rPr>
          <w:rFonts w:ascii="Times New Roman" w:hAnsi="Times New Roman"/>
          <w:sz w:val="28"/>
        </w:rPr>
        <w:t>2012 г</w:t>
      </w:r>
      <w:r>
        <w:rPr>
          <w:rFonts w:ascii="Times New Roman" w:hAnsi="Times New Roman"/>
          <w:sz w:val="28"/>
        </w:rPr>
        <w:t>., в журналах «Дошкльное воспитание», «Ребенок в детском саду», изучение методик и технологий в интернет ресурсах, использование в НОД, свободной деятельности, в игре, в индивидуальной работе с детьми.</w:t>
      </w:r>
    </w:p>
    <w:p w14:paraId="35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• </w:t>
      </w:r>
      <w:r>
        <w:rPr>
          <w:rFonts w:ascii="Times New Roman" w:hAnsi="Times New Roman"/>
          <w:sz w:val="28"/>
        </w:rPr>
        <w:t>Изучить научно-методическую литературу по данной теме;</w:t>
      </w:r>
    </w:p>
    <w:p w14:paraId="36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Разработать перспективный план работы с детьми;</w:t>
      </w:r>
    </w:p>
    <w:p w14:paraId="37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sz w:val="28"/>
        </w:rPr>
        <w:t>изучить проблемы преемственности ДОУ и школы в психолого-педагогической и методической литературе;</w:t>
      </w:r>
    </w:p>
    <w:p w14:paraId="38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</w:rPr>
        <w:t>•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планировать собственную деятельность, договариваться с коллегами, учителями и родителями о совместной деятельности, распределять роли и обязанности;</w:t>
      </w:r>
    </w:p>
    <w:p w14:paraId="39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</w:rPr>
        <w:t>•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развивать умения и навыки в игровой, познавательной, исследовательской деятельности;</w:t>
      </w:r>
    </w:p>
    <w:p w14:paraId="3A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sz w:val="28"/>
        </w:rPr>
        <w:t>систематизировать работу по реализации мероприятий, направленных на совместную деятельность детского сада и школы;</w:t>
      </w:r>
    </w:p>
    <w:p w14:paraId="3B000000">
      <w:pPr>
        <w:spacing w:after="15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Обеспечивать психологическое благополучие и здоровье детей</w:t>
      </w:r>
    </w:p>
    <w:p w14:paraId="3C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Формы </w:t>
      </w:r>
      <w:r>
        <w:rPr>
          <w:rFonts w:ascii="Times New Roman" w:hAnsi="Times New Roman"/>
          <w:color w:val="333333"/>
          <w:sz w:val="28"/>
        </w:rPr>
        <w:t>работы с детьми:</w:t>
      </w:r>
    </w:p>
    <w:p w14:paraId="3D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подвижные игры,</w:t>
      </w:r>
    </w:p>
    <w:p w14:paraId="3E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сюжетно-ролевые игры,</w:t>
      </w:r>
    </w:p>
    <w:p w14:paraId="3F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физкультминутки,</w:t>
      </w:r>
    </w:p>
    <w:p w14:paraId="40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чтение и обсуждение,</w:t>
      </w:r>
    </w:p>
    <w:p w14:paraId="41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заучивание,</w:t>
      </w:r>
    </w:p>
    <w:p w14:paraId="42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беседа,</w:t>
      </w:r>
    </w:p>
    <w:p w14:paraId="43000000">
      <w:pPr>
        <w:spacing w:after="15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• театрализованная деятельность.</w:t>
      </w:r>
    </w:p>
    <w:p w14:paraId="44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45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Ожидаемые результаты:</w:t>
      </w:r>
    </w:p>
    <w:p w14:paraId="46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сформируются основы педагогического мастерства, профессионализма и творчества:</w:t>
      </w:r>
    </w:p>
    <w:p w14:paraId="47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-умение анализировать научно-методическую литературу, повышение своих теоретических и практических знаний, умений и навыков;</w:t>
      </w:r>
    </w:p>
    <w:p w14:paraId="48000000">
      <w:pPr>
        <w:spacing w:after="372" w:before="372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Эти задачи планирую решать через реализацию следующих мероприятий.</w:t>
      </w:r>
    </w:p>
    <w:p w14:paraId="49000000">
      <w:pPr>
        <w:spacing w:after="372" w:before="372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</w:t>
      </w:r>
    </w:p>
    <w:p w14:paraId="4A000000">
      <w:pPr>
        <w:spacing w:after="372" w:before="372" w:line="240" w:lineRule="auto"/>
        <w:ind/>
        <w:jc w:val="both"/>
        <w:rPr>
          <w:rFonts w:ascii="Times New Roman" w:hAnsi="Times New Roman"/>
          <w:sz w:val="28"/>
        </w:rPr>
      </w:pPr>
    </w:p>
    <w:p w14:paraId="4B000000">
      <w:pPr>
        <w:spacing w:after="372" w:before="372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Подготовительная группа</w:t>
      </w:r>
    </w:p>
    <w:tbl>
      <w:tblPr>
        <w:tblStyle w:val="Style_5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73"/>
        <w:gridCol w:w="3857"/>
        <w:gridCol w:w="2953"/>
        <w:gridCol w:w="2292"/>
      </w:tblGrid>
      <w:tr>
        <w:tc>
          <w:tcPr>
            <w:tcW w:type="dxa" w:w="37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C000000">
            <w:pPr>
              <w:spacing w:after="15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3857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D000000">
            <w:pPr>
              <w:spacing w:after="15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type="dxa" w:w="295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E000000">
            <w:pPr>
              <w:spacing w:after="15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type="dxa" w:w="2292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F000000">
            <w:pPr>
              <w:spacing w:after="15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 выполнении</w:t>
            </w:r>
          </w:p>
        </w:tc>
      </w:tr>
      <w:tr>
        <w:trPr>
          <w:trHeight w:hRule="atLeast" w:val="490"/>
        </w:trPr>
        <w:tc>
          <w:tcPr>
            <w:tcW w:type="dxa" w:w="37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0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3857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1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Подготовительный этап</w:t>
            </w:r>
          </w:p>
          <w:p w14:paraId="52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1.Составление плана работы по самообразованию;</w:t>
            </w:r>
          </w:p>
          <w:p w14:paraId="53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2.Изучение учебно – методической литературы:</w:t>
            </w:r>
          </w:p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Комарова Т.С. «Интеграция в системе воспитательно-образовательной работы в детском саду». </w:t>
            </w:r>
          </w:p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М.: Мозаика-Синтез, 2010г.</w:t>
            </w:r>
          </w:p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Программа по подготовке к школе детей 5-7 лет» Преемственность М.: Просвещение, 2012г.</w:t>
            </w:r>
          </w:p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Программа «От рождения до школы» под редакцией Н.Е. Вераксы, Т.С. Комаровой, М.А. Васильевой, 2011г.</w:t>
            </w:r>
          </w:p>
          <w:p w14:paraId="58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3.Изучение статей в журналах:</w:t>
            </w:r>
          </w:p>
          <w:p w14:paraId="59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«Дошкольное воспитание»;</w:t>
            </w:r>
          </w:p>
          <w:p w14:paraId="5A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«Ребенок в детском саду»;</w:t>
            </w:r>
          </w:p>
          <w:p w14:paraId="5B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«Дошкольная педагогика»</w:t>
            </w:r>
          </w:p>
          <w:p w14:paraId="5C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Изучение статей, конспектов по самообразованию на интернет сайте:</w:t>
            </w:r>
          </w:p>
          <w:p w14:paraId="5D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-  </w: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8"/>
              </w:rPr>
              <w:instrText>HYPERLINK "http://www.nsportal.ru/"</w:instrTex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8"/>
              </w:rPr>
              <w:t>www.nsportal.ru</w: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end"/>
            </w:r>
          </w:p>
          <w:p w14:paraId="5E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 </w: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8"/>
              </w:rPr>
              <w:instrText>HYPERLINK "http://www.detskysad.ru/"</w:instrTex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8"/>
              </w:rPr>
              <w:t>www.detskysad.ru</w: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end"/>
            </w:r>
          </w:p>
          <w:p w14:paraId="5F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</w: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8"/>
              </w:rPr>
              <w:instrText>HYPERLINK "http://www.planetadetstva.net/"</w:instrTex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8"/>
              </w:rPr>
              <w:t>www.planetadetstva.net</w:t>
            </w:r>
            <w:r>
              <w:rPr>
                <w:rStyle w:val="Style_6_ch"/>
                <w:rFonts w:ascii="Times New Roman" w:hAnsi="Times New Roman"/>
                <w:sz w:val="28"/>
              </w:rPr>
              <w:fldChar w:fldCharType="end"/>
            </w:r>
          </w:p>
          <w:p w14:paraId="60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5.Анкетирование родителей «Выявление уровня знаний родителей о </w:t>
            </w:r>
            <w:r>
              <w:rPr>
                <w:rFonts w:ascii="Times New Roman" w:hAnsi="Times New Roman"/>
                <w:sz w:val="28"/>
                <w:highlight w:val="white"/>
              </w:rPr>
              <w:t>п</w:t>
            </w:r>
            <w:r>
              <w:rPr>
                <w:rFonts w:ascii="Times New Roman" w:hAnsi="Times New Roman"/>
                <w:sz w:val="28"/>
                <w:highlight w:val="white"/>
              </w:rPr>
              <w:t>р</w:t>
            </w:r>
            <w:r>
              <w:rPr>
                <w:rFonts w:ascii="Times New Roman" w:hAnsi="Times New Roman"/>
                <w:sz w:val="28"/>
                <w:highlight w:val="white"/>
              </w:rPr>
              <w:t>еемственности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дошкольного и начального общего образования посредством дистанционного обучения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61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Цель: выявление уровня знаний родителей </w:t>
            </w:r>
          </w:p>
        </w:tc>
        <w:tc>
          <w:tcPr>
            <w:tcW w:type="dxa" w:w="295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2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63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</w:t>
            </w:r>
            <w:r>
              <w:rPr>
                <w:rFonts w:ascii="Times New Roman" w:hAnsi="Times New Roman"/>
                <w:sz w:val="28"/>
              </w:rPr>
              <w:t>ода</w:t>
            </w:r>
          </w:p>
          <w:p w14:paraId="64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5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6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года.</w:t>
            </w:r>
          </w:p>
          <w:p w14:paraId="67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8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9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A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B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C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D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E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F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0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1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2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3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4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года.</w:t>
            </w:r>
          </w:p>
          <w:p w14:paraId="75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6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7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78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9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A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  <w:p w14:paraId="7B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C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  <w:p w14:paraId="7D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E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292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F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7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0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3857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1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Основной этап</w:t>
            </w:r>
          </w:p>
          <w:p w14:paraId="82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Организация тематической образовательной ситуации для родителей будущих школьников «Развитие познавательных процессов у детей старшего дошкольного возраста при участии семьи и социальных институтов (детский сад, различные кружки, группы). Участие воспитанников в открытом конкурсе «Огонь – друг, Огонь – враг» и фестивале «Таланты и поклонники»</w:t>
            </w:r>
          </w:p>
          <w:p w14:paraId="83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Изучение литературы, методик, технологий в интернет ресурсах. Организация совместного праздника для детей и родителей, посвященного 23 февраля</w:t>
            </w:r>
            <w:r>
              <w:rPr>
                <w:rFonts w:ascii="Times New Roman" w:hAnsi="Times New Roman"/>
                <w:sz w:val="28"/>
              </w:rPr>
              <w:t>: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Л.Р. Бонтина, Н.В, Миляева «Обеспечение преемственности в работе ДОУ и школы». Методическое пособие. Айрис – Дидактика,2014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Т.С. Комарова, Зырянова О.Н. «Преемственность в формировании художественного творчества детей в детском саду и начальной школе». Педагогическое общество России, 2006г.</w:t>
            </w:r>
          </w:p>
          <w:p w14:paraId="86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Познавательные и личностные беседы на тему «23 февраля»</w:t>
            </w:r>
          </w:p>
        </w:tc>
        <w:tc>
          <w:tcPr>
            <w:tcW w:type="dxa" w:w="295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7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8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89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года.</w:t>
            </w:r>
          </w:p>
          <w:p w14:paraId="8A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B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8C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8D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  <w:p w14:paraId="8E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  <w:p w14:paraId="8F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90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91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  <w:p w14:paraId="92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  <w:p w14:paraId="93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  <w:p w14:paraId="94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5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6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  <w:p w14:paraId="97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8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  <w:p w14:paraId="99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A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9B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type="dxa" w:w="2292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C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393"/>
        </w:trPr>
        <w:tc>
          <w:tcPr>
            <w:tcW w:type="dxa" w:w="37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D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857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E000000">
            <w:pPr>
              <w:spacing w:after="15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Итоговый этап.</w:t>
            </w:r>
          </w:p>
          <w:p w14:paraId="9F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Самоанализ и самооценка проделанной работы в своей группе.</w:t>
            </w:r>
          </w:p>
        </w:tc>
        <w:tc>
          <w:tcPr>
            <w:tcW w:type="dxa" w:w="2953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0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Апрель</w:t>
            </w:r>
          </w:p>
          <w:p w14:paraId="A1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  <w:p w14:paraId="A2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>в течение года.</w:t>
            </w:r>
          </w:p>
        </w:tc>
        <w:tc>
          <w:tcPr>
            <w:tcW w:type="dxa" w:w="2292"/>
            <w:tcBorders>
              <w:top w:color="EAEAEA" w:sz="6" w:val="single"/>
              <w:left w:color="EAEAEA" w:sz="6" w:val="single"/>
              <w:bottom w:color="EAEAEA" w:sz="6" w:val="single"/>
              <w:right w:color="EAEAEA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3000000">
            <w:pPr>
              <w:spacing w:after="15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A4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Ожидаемые результаты:</w:t>
      </w:r>
    </w:p>
    <w:p w14:paraId="A5000000">
      <w:p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сформируются основы педагогического мастерства, профессионализма и творчества.</w:t>
      </w:r>
    </w:p>
    <w:sectPr>
      <w:pgSz w:h="16838" w:orient="portrait" w:w="11906"/>
      <w:pgMar w:bottom="426" w:footer="708" w:gutter="0" w:header="708" w:left="1134" w:right="707" w:top="53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200" w:line="276" w:lineRule="auto"/>
      <w:ind/>
    </w:pPr>
  </w:style>
  <w:style w:default="1" w:styleId="Style_7_ch" w:type="character">
    <w:name w:val="Normal"/>
    <w:link w:val="Style_7"/>
  </w:style>
  <w:style w:styleId="Style_8" w:type="paragraph">
    <w:name w:val="c17"/>
    <w:basedOn w:val="Style_9"/>
    <w:link w:val="Style_8_ch"/>
  </w:style>
  <w:style w:styleId="Style_8_ch" w:type="character">
    <w:name w:val="c17"/>
    <w:basedOn w:val="Style_9_ch"/>
    <w:link w:val="Style_8"/>
  </w:style>
  <w:style w:styleId="Style_10" w:type="paragraph">
    <w:name w:val="No Spacing"/>
    <w:link w:val="Style_10_ch"/>
  </w:style>
  <w:style w:styleId="Style_10_ch" w:type="character">
    <w:name w:val="No Spacing"/>
    <w:link w:val="Style_10"/>
  </w:style>
  <w:style w:styleId="Style_11" w:type="paragraph">
    <w:name w:val="toc 2"/>
    <w:next w:val="Style_7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7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7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7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c14"/>
    <w:basedOn w:val="Style_7"/>
    <w:link w:val="Style_1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c14"/>
    <w:basedOn w:val="Style_7_ch"/>
    <w:link w:val="Style_15"/>
    <w:rPr>
      <w:rFonts w:ascii="Times New Roman" w:hAnsi="Times New Roman"/>
      <w:sz w:val="24"/>
    </w:rPr>
  </w:style>
  <w:style w:styleId="Style_16" w:type="paragraph">
    <w:name w:val="heading 3"/>
    <w:next w:val="Style_7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footer"/>
    <w:basedOn w:val="Style_7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footer"/>
    <w:basedOn w:val="Style_7_ch"/>
    <w:link w:val="Style_17"/>
  </w:style>
  <w:style w:styleId="Style_1" w:type="paragraph">
    <w:name w:val="Normal (Web)"/>
    <w:basedOn w:val="Style_7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7_ch"/>
    <w:link w:val="Style_1"/>
    <w:rPr>
      <w:rFonts w:ascii="Times New Roman" w:hAnsi="Times New Roman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8" w:type="paragraph">
    <w:name w:val="c12"/>
    <w:basedOn w:val="Style_9"/>
    <w:link w:val="Style_18_ch"/>
  </w:style>
  <w:style w:styleId="Style_18_ch" w:type="character">
    <w:name w:val="c12"/>
    <w:basedOn w:val="Style_9_ch"/>
    <w:link w:val="Style_18"/>
  </w:style>
  <w:style w:styleId="Style_19" w:type="paragraph">
    <w:name w:val="Абзац списка1"/>
    <w:basedOn w:val="Style_7"/>
    <w:link w:val="Style_19_ch"/>
    <w:pPr>
      <w:ind w:firstLine="0" w:left="720"/>
    </w:pPr>
  </w:style>
  <w:style w:styleId="Style_19_ch" w:type="character">
    <w:name w:val="Абзац списка1"/>
    <w:basedOn w:val="Style_7_ch"/>
    <w:link w:val="Style_19"/>
  </w:style>
  <w:style w:styleId="Style_20" w:type="paragraph">
    <w:name w:val="header"/>
    <w:basedOn w:val="Style_7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7_ch"/>
    <w:link w:val="Style_20"/>
  </w:style>
  <w:style w:styleId="Style_21" w:type="paragraph">
    <w:name w:val="c20"/>
    <w:basedOn w:val="Style_9"/>
    <w:link w:val="Style_21_ch"/>
  </w:style>
  <w:style w:styleId="Style_21_ch" w:type="character">
    <w:name w:val="c20"/>
    <w:basedOn w:val="Style_9_ch"/>
    <w:link w:val="Style_21"/>
  </w:style>
  <w:style w:styleId="Style_22" w:type="paragraph">
    <w:name w:val="apple-style-span"/>
    <w:basedOn w:val="Style_9"/>
    <w:link w:val="Style_22_ch"/>
  </w:style>
  <w:style w:styleId="Style_22_ch" w:type="character">
    <w:name w:val="apple-style-span"/>
    <w:basedOn w:val="Style_9_ch"/>
    <w:link w:val="Style_22"/>
  </w:style>
  <w:style w:styleId="Style_23" w:type="paragraph">
    <w:name w:val="toc 3"/>
    <w:next w:val="Style_7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af5"/>
    <w:basedOn w:val="Style_7"/>
    <w:link w:val="Style_2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4_ch" w:type="character">
    <w:name w:val="af5"/>
    <w:basedOn w:val="Style_7_ch"/>
    <w:link w:val="Style_24"/>
    <w:rPr>
      <w:rFonts w:ascii="Times New Roman" w:hAnsi="Times New Roman"/>
      <w:sz w:val="24"/>
    </w:rPr>
  </w:style>
  <w:style w:styleId="Style_4" w:type="paragraph">
    <w:name w:val="c3"/>
    <w:basedOn w:val="Style_9"/>
    <w:link w:val="Style_4_ch"/>
  </w:style>
  <w:style w:styleId="Style_4_ch" w:type="character">
    <w:name w:val="c3"/>
    <w:basedOn w:val="Style_9_ch"/>
    <w:link w:val="Style_4"/>
  </w:style>
  <w:style w:styleId="Style_25" w:type="paragraph">
    <w:name w:val="c21"/>
    <w:basedOn w:val="Style_7"/>
    <w:link w:val="Style_2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c21"/>
    <w:basedOn w:val="Style_7_ch"/>
    <w:link w:val="Style_25"/>
    <w:rPr>
      <w:rFonts w:ascii="Times New Roman" w:hAnsi="Times New Roman"/>
      <w:sz w:val="24"/>
    </w:rPr>
  </w:style>
  <w:style w:styleId="Style_26" w:type="paragraph">
    <w:name w:val="heading 5"/>
    <w:next w:val="Style_7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List Paragraph"/>
    <w:basedOn w:val="Style_7"/>
    <w:link w:val="Style_27_ch"/>
    <w:pPr>
      <w:ind w:firstLine="0" w:left="720"/>
    </w:pPr>
  </w:style>
  <w:style w:styleId="Style_27_ch" w:type="character">
    <w:name w:val="List Paragraph"/>
    <w:basedOn w:val="Style_7_ch"/>
    <w:link w:val="Style_27"/>
  </w:style>
  <w:style w:styleId="Style_28" w:type="paragraph">
    <w:name w:val="heading 1"/>
    <w:basedOn w:val="Style_7"/>
    <w:link w:val="Style_28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8_ch" w:type="character">
    <w:name w:val="heading 1"/>
    <w:basedOn w:val="Style_7_ch"/>
    <w:link w:val="Style_28"/>
    <w:rPr>
      <w:rFonts w:ascii="Times New Roman" w:hAnsi="Times New Roman"/>
      <w:b w:val="1"/>
      <w:sz w:val="48"/>
    </w:rPr>
  </w:style>
  <w:style w:styleId="Style_6" w:type="paragraph">
    <w:name w:val="Hyperlink"/>
    <w:basedOn w:val="Style_9"/>
    <w:link w:val="Style_6_ch"/>
    <w:rPr>
      <w:color w:val="0000FF"/>
      <w:u w:val="single"/>
    </w:rPr>
  </w:style>
  <w:style w:styleId="Style_6_ch" w:type="character">
    <w:name w:val="Hyperlink"/>
    <w:basedOn w:val="Style_9_ch"/>
    <w:link w:val="Style_6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7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0"/>
    </w:rPr>
  </w:style>
  <w:style w:styleId="Style_31_ch" w:type="character">
    <w:name w:val="Header and Footer"/>
    <w:link w:val="Style_31"/>
    <w:rPr>
      <w:rFonts w:ascii="XO Thames" w:hAnsi="XO Thames"/>
      <w:sz w:val="20"/>
    </w:rPr>
  </w:style>
  <w:style w:styleId="Style_32" w:type="paragraph">
    <w:name w:val="Без интервала1"/>
    <w:link w:val="Style_32_ch"/>
  </w:style>
  <w:style w:styleId="Style_32_ch" w:type="character">
    <w:name w:val="Без интервала1"/>
    <w:link w:val="Style_32"/>
  </w:style>
  <w:style w:styleId="Style_2" w:type="paragraph">
    <w:name w:val="c0"/>
    <w:basedOn w:val="Style_7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c0"/>
    <w:basedOn w:val="Style_7_ch"/>
    <w:link w:val="Style_2"/>
    <w:rPr>
      <w:rFonts w:ascii="Times New Roman" w:hAnsi="Times New Roman"/>
      <w:sz w:val="24"/>
    </w:rPr>
  </w:style>
  <w:style w:styleId="Style_33" w:type="paragraph">
    <w:name w:val="toc 9"/>
    <w:next w:val="Style_7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Strong"/>
    <w:basedOn w:val="Style_9"/>
    <w:link w:val="Style_34_ch"/>
    <w:rPr>
      <w:b w:val="1"/>
    </w:rPr>
  </w:style>
  <w:style w:styleId="Style_34_ch" w:type="character">
    <w:name w:val="Strong"/>
    <w:basedOn w:val="Style_9_ch"/>
    <w:link w:val="Style_34"/>
    <w:rPr>
      <w:b w:val="1"/>
    </w:rPr>
  </w:style>
  <w:style w:styleId="Style_35" w:type="paragraph">
    <w:name w:val="toc 8"/>
    <w:next w:val="Style_7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WW8Num33z1"/>
    <w:link w:val="Style_36_ch"/>
    <w:rPr>
      <w:rFonts w:ascii="OpenSymbol" w:hAnsi="OpenSymbol"/>
    </w:rPr>
  </w:style>
  <w:style w:styleId="Style_36_ch" w:type="character">
    <w:name w:val="WW8Num33z1"/>
    <w:link w:val="Style_36"/>
    <w:rPr>
      <w:rFonts w:ascii="OpenSymbol" w:hAnsi="OpenSymbol"/>
    </w:rPr>
  </w:style>
  <w:style w:styleId="Style_3" w:type="paragraph">
    <w:name w:val="c11"/>
    <w:basedOn w:val="Style_9"/>
    <w:link w:val="Style_3_ch"/>
  </w:style>
  <w:style w:styleId="Style_3_ch" w:type="character">
    <w:name w:val="c11"/>
    <w:basedOn w:val="Style_9_ch"/>
    <w:link w:val="Style_3"/>
  </w:style>
  <w:style w:styleId="Style_37" w:type="paragraph">
    <w:name w:val="c4"/>
    <w:basedOn w:val="Style_9"/>
    <w:link w:val="Style_37_ch"/>
  </w:style>
  <w:style w:styleId="Style_37_ch" w:type="character">
    <w:name w:val="c4"/>
    <w:basedOn w:val="Style_9_ch"/>
    <w:link w:val="Style_37"/>
  </w:style>
  <w:style w:styleId="Style_38" w:type="paragraph">
    <w:name w:val="Balloon Text"/>
    <w:basedOn w:val="Style_7"/>
    <w:link w:val="Style_38_ch"/>
    <w:pPr>
      <w:spacing w:after="0" w:line="240" w:lineRule="auto"/>
      <w:ind/>
    </w:pPr>
    <w:rPr>
      <w:rFonts w:ascii="Tahoma" w:hAnsi="Tahoma"/>
      <w:sz w:val="16"/>
    </w:rPr>
  </w:style>
  <w:style w:styleId="Style_38_ch" w:type="character">
    <w:name w:val="Balloon Text"/>
    <w:basedOn w:val="Style_7_ch"/>
    <w:link w:val="Style_38"/>
    <w:rPr>
      <w:rFonts w:ascii="Tahoma" w:hAnsi="Tahoma"/>
      <w:sz w:val="16"/>
    </w:rPr>
  </w:style>
  <w:style w:styleId="Style_39" w:type="paragraph">
    <w:name w:val="toc 5"/>
    <w:next w:val="Style_7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Subtitle"/>
    <w:next w:val="Style_7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apple-converted-space"/>
    <w:basedOn w:val="Style_9"/>
    <w:link w:val="Style_41_ch"/>
  </w:style>
  <w:style w:styleId="Style_41_ch" w:type="character">
    <w:name w:val="apple-converted-space"/>
    <w:basedOn w:val="Style_9_ch"/>
    <w:link w:val="Style_41"/>
  </w:style>
  <w:style w:styleId="Style_42" w:type="paragraph">
    <w:name w:val="Default"/>
    <w:link w:val="Style_42_ch"/>
    <w:rPr>
      <w:rFonts w:ascii="Times New Roman" w:hAnsi="Times New Roman"/>
      <w:color w:val="000000"/>
      <w:sz w:val="24"/>
    </w:rPr>
  </w:style>
  <w:style w:styleId="Style_42_ch" w:type="character">
    <w:name w:val="Default"/>
    <w:link w:val="Style_42"/>
    <w:rPr>
      <w:rFonts w:ascii="Times New Roman" w:hAnsi="Times New Roman"/>
      <w:color w:val="000000"/>
      <w:sz w:val="24"/>
    </w:rPr>
  </w:style>
  <w:style w:styleId="Style_43" w:type="paragraph">
    <w:name w:val="Title"/>
    <w:next w:val="Style_7"/>
    <w:link w:val="Style_4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sz w:val="40"/>
    </w:rPr>
  </w:style>
  <w:style w:styleId="Style_44" w:type="paragraph">
    <w:name w:val="heading 4"/>
    <w:next w:val="Style_7"/>
    <w:link w:val="Style_4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4_ch" w:type="character">
    <w:name w:val="heading 4"/>
    <w:link w:val="Style_44"/>
    <w:rPr>
      <w:rFonts w:ascii="XO Thames" w:hAnsi="XO Thames"/>
      <w:b w:val="1"/>
      <w:sz w:val="24"/>
    </w:rPr>
  </w:style>
  <w:style w:styleId="Style_45" w:type="paragraph">
    <w:name w:val="heading 2"/>
    <w:next w:val="Style_7"/>
    <w:link w:val="Style_4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5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2024-12-17T05:41:39Z</dcterms:modified>
</cp:coreProperties>
</file>