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spacing w:after="0" w:line="294" w:lineRule="atLeast"/>
        <w:ind/>
        <w:jc w:val="center"/>
        <w:rPr>
          <w:rFonts w:ascii="Times New Roman" w:hAnsi="Times New Roman"/>
          <w:color w:val="000000"/>
          <w:sz w:val="32"/>
        </w:rPr>
      </w:pPr>
      <w:r>
        <w:rPr>
          <w:rFonts w:ascii="Times New Roman" w:hAnsi="Times New Roman"/>
          <w:color w:val="000000"/>
          <w:sz w:val="32"/>
        </w:rPr>
        <w:t>Муниципальное бюджетное дошкольное образовательное учреждение</w:t>
      </w:r>
    </w:p>
    <w:p w14:paraId="02000000">
      <w:pPr>
        <w:spacing w:after="0" w:line="294" w:lineRule="atLeast"/>
        <w:ind/>
        <w:jc w:val="center"/>
        <w:rPr>
          <w:rFonts w:ascii="Times New Roman" w:hAnsi="Times New Roman"/>
          <w:color w:val="000000"/>
          <w:sz w:val="32"/>
        </w:rPr>
      </w:pPr>
      <w:r>
        <w:rPr>
          <w:rFonts w:ascii="Times New Roman" w:hAnsi="Times New Roman"/>
          <w:color w:val="000000"/>
          <w:sz w:val="32"/>
        </w:rPr>
        <w:t>№18 «Мишутка»</w:t>
      </w:r>
    </w:p>
    <w:p w14:paraId="03000000">
      <w:pPr>
        <w:spacing w:after="0" w:line="294" w:lineRule="atLeast"/>
        <w:ind/>
        <w:jc w:val="center"/>
        <w:rPr>
          <w:rFonts w:ascii="Times New Roman" w:hAnsi="Times New Roman"/>
          <w:color w:val="000000"/>
          <w:sz w:val="32"/>
        </w:rPr>
      </w:pPr>
      <w:r>
        <w:rPr>
          <w:rFonts w:ascii="Times New Roman" w:hAnsi="Times New Roman"/>
          <w:color w:val="000000"/>
          <w:sz w:val="32"/>
        </w:rPr>
        <w:br/>
      </w:r>
    </w:p>
    <w:p w14:paraId="04000000">
      <w:pPr>
        <w:spacing w:after="0" w:line="294" w:lineRule="atLeast"/>
        <w:ind/>
        <w:jc w:val="center"/>
        <w:rPr>
          <w:rFonts w:ascii="Times New Roman" w:hAnsi="Times New Roman"/>
          <w:color w:val="000000"/>
          <w:sz w:val="32"/>
        </w:rPr>
      </w:pPr>
      <w:r>
        <w:rPr>
          <w:rFonts w:ascii="Times New Roman" w:hAnsi="Times New Roman"/>
          <w:color w:val="000000"/>
          <w:sz w:val="32"/>
        </w:rPr>
        <w:br/>
      </w:r>
    </w:p>
    <w:p w14:paraId="05000000">
      <w:pPr>
        <w:spacing w:after="0" w:line="294" w:lineRule="atLeast"/>
        <w:ind/>
        <w:jc w:val="center"/>
        <w:rPr>
          <w:rFonts w:ascii="Times New Roman" w:hAnsi="Times New Roman"/>
          <w:color w:val="000000"/>
          <w:sz w:val="32"/>
        </w:rPr>
      </w:pPr>
      <w:r>
        <w:rPr>
          <w:rFonts w:ascii="Times New Roman" w:hAnsi="Times New Roman"/>
          <w:color w:val="000000"/>
          <w:sz w:val="32"/>
        </w:rPr>
        <w:br/>
      </w:r>
    </w:p>
    <w:p w14:paraId="06000000">
      <w:pPr>
        <w:spacing w:after="0" w:line="294" w:lineRule="atLeast"/>
        <w:ind/>
        <w:jc w:val="center"/>
        <w:rPr>
          <w:rFonts w:ascii="Times New Roman" w:hAnsi="Times New Roman"/>
          <w:color w:val="000000"/>
          <w:sz w:val="32"/>
        </w:rPr>
      </w:pPr>
      <w:r>
        <w:rPr>
          <w:rFonts w:ascii="Times New Roman" w:hAnsi="Times New Roman"/>
          <w:color w:val="000000"/>
          <w:sz w:val="32"/>
        </w:rPr>
        <w:t>План</w:t>
      </w:r>
    </w:p>
    <w:p w14:paraId="07000000">
      <w:pPr>
        <w:spacing w:after="0" w:line="294" w:lineRule="atLeast"/>
        <w:ind/>
        <w:jc w:val="center"/>
        <w:rPr>
          <w:rFonts w:ascii="Times New Roman" w:hAnsi="Times New Roman"/>
          <w:color w:val="000000"/>
          <w:sz w:val="32"/>
        </w:rPr>
      </w:pPr>
      <w:r>
        <w:rPr>
          <w:rFonts w:ascii="Times New Roman" w:hAnsi="Times New Roman"/>
          <w:color w:val="000000"/>
          <w:sz w:val="32"/>
        </w:rPr>
        <w:t>по самообразованию</w:t>
      </w:r>
    </w:p>
    <w:p w14:paraId="08000000">
      <w:pPr>
        <w:spacing w:after="0" w:line="294" w:lineRule="atLeast"/>
        <w:ind/>
        <w:jc w:val="center"/>
        <w:rPr>
          <w:rFonts w:ascii="Times New Roman" w:hAnsi="Times New Roman"/>
          <w:color w:val="000000"/>
          <w:sz w:val="32"/>
        </w:rPr>
      </w:pPr>
      <w:r>
        <w:rPr>
          <w:rFonts w:ascii="Times New Roman" w:hAnsi="Times New Roman"/>
          <w:color w:val="000000"/>
          <w:sz w:val="32"/>
        </w:rPr>
        <w:t>воспитателя Масленцевой Ирины Андреевны</w:t>
      </w:r>
    </w:p>
    <w:p w14:paraId="09000000">
      <w:pPr>
        <w:spacing w:after="0" w:line="294" w:lineRule="atLeast"/>
        <w:ind/>
        <w:jc w:val="center"/>
        <w:rPr>
          <w:rFonts w:ascii="Times New Roman" w:hAnsi="Times New Roman"/>
          <w:color w:val="000000"/>
          <w:sz w:val="32"/>
        </w:rPr>
      </w:pPr>
      <w:r>
        <w:rPr>
          <w:rFonts w:ascii="Times New Roman" w:hAnsi="Times New Roman"/>
          <w:color w:val="000000"/>
          <w:sz w:val="32"/>
        </w:rPr>
        <w:br/>
      </w:r>
    </w:p>
    <w:p w14:paraId="0A000000">
      <w:pPr>
        <w:spacing w:after="0" w:line="294" w:lineRule="atLeast"/>
        <w:ind/>
        <w:jc w:val="center"/>
        <w:rPr>
          <w:rFonts w:ascii="Times New Roman" w:hAnsi="Times New Roman"/>
          <w:color w:val="000000"/>
          <w:sz w:val="32"/>
        </w:rPr>
      </w:pPr>
      <w:r>
        <w:rPr>
          <w:rFonts w:ascii="Times New Roman" w:hAnsi="Times New Roman"/>
          <w:b w:val="1"/>
          <w:color w:val="000000"/>
          <w:sz w:val="32"/>
        </w:rPr>
        <w:t>Тема:</w:t>
      </w:r>
      <w:r>
        <w:rPr>
          <w:rFonts w:ascii="Times New Roman" w:hAnsi="Times New Roman"/>
          <w:color w:val="000000"/>
          <w:sz w:val="32"/>
        </w:rPr>
        <w:t> «Преемственность дошкольного и начального общего образования посредством дистанционного обучения»</w:t>
      </w:r>
    </w:p>
    <w:p w14:paraId="0B000000">
      <w:pPr>
        <w:spacing w:after="0" w:line="294" w:lineRule="atLeast"/>
        <w:ind/>
        <w:jc w:val="center"/>
        <w:rPr>
          <w:rFonts w:ascii="Times New Roman" w:hAnsi="Times New Roman"/>
          <w:color w:val="000000"/>
          <w:sz w:val="32"/>
        </w:rPr>
      </w:pPr>
      <w:r>
        <w:rPr>
          <w:rFonts w:ascii="Times New Roman" w:hAnsi="Times New Roman"/>
          <w:color w:val="000000"/>
          <w:sz w:val="32"/>
        </w:rPr>
        <w:t>на 2023 - 2024 учебный год</w:t>
      </w:r>
    </w:p>
    <w:p w14:paraId="0C000000">
      <w:pPr>
        <w:spacing w:after="0" w:line="294" w:lineRule="atLeast"/>
        <w:ind/>
        <w:jc w:val="center"/>
        <w:rPr>
          <w:rFonts w:ascii="Times New Roman" w:hAnsi="Times New Roman"/>
          <w:color w:val="000000"/>
          <w:sz w:val="32"/>
        </w:rPr>
      </w:pPr>
    </w:p>
    <w:p w14:paraId="0D000000">
      <w:pPr>
        <w:spacing w:after="0" w:line="294" w:lineRule="atLeast"/>
        <w:ind/>
        <w:jc w:val="center"/>
        <w:rPr>
          <w:rFonts w:ascii="Times New Roman" w:hAnsi="Times New Roman"/>
          <w:color w:val="000000"/>
          <w:sz w:val="32"/>
        </w:rPr>
      </w:pPr>
      <w:r>
        <w:rPr>
          <w:rFonts w:ascii="Times New Roman" w:hAnsi="Times New Roman"/>
          <w:color w:val="000000"/>
          <w:sz w:val="32"/>
        </w:rPr>
        <w:br/>
      </w:r>
    </w:p>
    <w:p w14:paraId="0E000000">
      <w:pPr>
        <w:spacing w:after="0" w:line="294" w:lineRule="atLeast"/>
        <w:ind/>
        <w:rPr>
          <w:rFonts w:ascii="Times New Roman" w:hAnsi="Times New Roman"/>
          <w:color w:val="000000"/>
          <w:sz w:val="32"/>
        </w:rPr>
      </w:pPr>
      <w:r>
        <w:rPr>
          <w:rFonts w:ascii="Times New Roman" w:hAnsi="Times New Roman"/>
          <w:color w:val="000000"/>
          <w:sz w:val="32"/>
        </w:rPr>
        <w:br/>
      </w:r>
    </w:p>
    <w:p w14:paraId="0F000000">
      <w:pPr>
        <w:spacing w:after="0" w:line="294" w:lineRule="atLeast"/>
        <w:ind/>
        <w:jc w:val="center"/>
        <w:rPr>
          <w:rFonts w:ascii="Times New Roman" w:hAnsi="Times New Roman"/>
          <w:color w:val="000000"/>
          <w:sz w:val="32"/>
        </w:rPr>
      </w:pPr>
      <w:r>
        <w:rPr>
          <w:rFonts w:ascii="Times New Roman" w:hAnsi="Times New Roman"/>
          <w:color w:val="000000"/>
          <w:sz w:val="32"/>
        </w:rPr>
        <w:br/>
      </w:r>
    </w:p>
    <w:p w14:paraId="10000000">
      <w:pPr>
        <w:spacing w:after="0" w:line="294" w:lineRule="atLeast"/>
        <w:ind/>
        <w:jc w:val="center"/>
        <w:rPr>
          <w:rFonts w:ascii="Times New Roman" w:hAnsi="Times New Roman"/>
          <w:color w:val="000000"/>
          <w:sz w:val="32"/>
        </w:rPr>
      </w:pPr>
      <w:r>
        <w:rPr>
          <w:rFonts w:ascii="Times New Roman" w:hAnsi="Times New Roman"/>
          <w:color w:val="000000"/>
          <w:sz w:val="32"/>
        </w:rPr>
        <w:br/>
      </w:r>
    </w:p>
    <w:p w14:paraId="11000000">
      <w:pPr>
        <w:spacing w:after="0" w:line="294" w:lineRule="atLeast"/>
        <w:ind/>
        <w:jc w:val="center"/>
        <w:rPr>
          <w:rFonts w:ascii="Times New Roman" w:hAnsi="Times New Roman"/>
          <w:color w:val="000000"/>
          <w:sz w:val="32"/>
        </w:rPr>
      </w:pPr>
      <w:r>
        <w:rPr>
          <w:rFonts w:ascii="Times New Roman" w:hAnsi="Times New Roman"/>
          <w:color w:val="000000"/>
          <w:sz w:val="32"/>
        </w:rPr>
        <w:br/>
      </w:r>
    </w:p>
    <w:p w14:paraId="12000000">
      <w:pPr>
        <w:spacing w:after="0" w:line="294" w:lineRule="atLeast"/>
        <w:ind/>
        <w:jc w:val="center"/>
        <w:rPr>
          <w:rFonts w:ascii="Times New Roman" w:hAnsi="Times New Roman"/>
          <w:color w:val="000000"/>
          <w:sz w:val="32"/>
        </w:rPr>
      </w:pPr>
      <w:r>
        <w:rPr>
          <w:rFonts w:ascii="Times New Roman" w:hAnsi="Times New Roman"/>
          <w:color w:val="000000"/>
          <w:sz w:val="32"/>
        </w:rPr>
        <w:br/>
      </w:r>
    </w:p>
    <w:p w14:paraId="13000000">
      <w:pPr>
        <w:spacing w:after="0" w:line="294" w:lineRule="atLeast"/>
        <w:ind/>
        <w:jc w:val="center"/>
        <w:rPr>
          <w:rFonts w:ascii="Times New Roman" w:hAnsi="Times New Roman"/>
          <w:color w:val="000000"/>
          <w:sz w:val="32"/>
        </w:rPr>
      </w:pPr>
      <w:r>
        <w:rPr>
          <w:rFonts w:ascii="Times New Roman" w:hAnsi="Times New Roman"/>
          <w:color w:val="000000"/>
          <w:sz w:val="32"/>
        </w:rPr>
        <w:br/>
      </w:r>
    </w:p>
    <w:p w14:paraId="14000000">
      <w:pPr>
        <w:spacing w:after="0" w:line="294" w:lineRule="atLeast"/>
        <w:ind/>
        <w:jc w:val="center"/>
        <w:rPr>
          <w:rFonts w:ascii="Times New Roman" w:hAnsi="Times New Roman"/>
          <w:color w:val="000000"/>
          <w:sz w:val="32"/>
        </w:rPr>
      </w:pPr>
      <w:r>
        <w:rPr>
          <w:rFonts w:ascii="Times New Roman" w:hAnsi="Times New Roman"/>
          <w:color w:val="000000"/>
          <w:sz w:val="32"/>
        </w:rPr>
        <w:br/>
      </w:r>
    </w:p>
    <w:p w14:paraId="15000000">
      <w:pPr>
        <w:spacing w:after="0" w:line="294" w:lineRule="atLeast"/>
        <w:ind/>
        <w:jc w:val="center"/>
        <w:rPr>
          <w:rFonts w:ascii="Times New Roman" w:hAnsi="Times New Roman"/>
          <w:color w:val="000000"/>
          <w:sz w:val="32"/>
        </w:rPr>
      </w:pPr>
      <w:r>
        <w:rPr>
          <w:rFonts w:ascii="Times New Roman" w:hAnsi="Times New Roman"/>
          <w:color w:val="000000"/>
          <w:sz w:val="32"/>
        </w:rPr>
        <w:br/>
      </w:r>
    </w:p>
    <w:p w14:paraId="16000000">
      <w:pPr>
        <w:spacing w:after="0" w:line="294" w:lineRule="atLeast"/>
        <w:ind/>
        <w:jc w:val="center"/>
        <w:rPr>
          <w:rFonts w:ascii="Times New Roman" w:hAnsi="Times New Roman"/>
          <w:b w:val="1"/>
          <w:color w:val="000000"/>
          <w:sz w:val="27"/>
        </w:rPr>
      </w:pPr>
    </w:p>
    <w:p w14:paraId="17000000">
      <w:pPr>
        <w:spacing w:after="0" w:line="294" w:lineRule="atLeast"/>
        <w:ind/>
        <w:jc w:val="center"/>
        <w:rPr>
          <w:rFonts w:ascii="Times New Roman" w:hAnsi="Times New Roman"/>
          <w:b w:val="1"/>
          <w:color w:val="000000"/>
          <w:sz w:val="27"/>
        </w:rPr>
      </w:pPr>
    </w:p>
    <w:p w14:paraId="18000000">
      <w:pPr>
        <w:spacing w:after="0" w:line="294" w:lineRule="atLeast"/>
        <w:ind/>
        <w:jc w:val="center"/>
        <w:rPr>
          <w:rFonts w:ascii="Times New Roman" w:hAnsi="Times New Roman"/>
          <w:b w:val="1"/>
          <w:color w:val="000000"/>
          <w:sz w:val="27"/>
        </w:rPr>
      </w:pPr>
    </w:p>
    <w:p w14:paraId="19000000">
      <w:pPr>
        <w:spacing w:after="0" w:line="294" w:lineRule="atLeast"/>
        <w:ind/>
        <w:jc w:val="center"/>
        <w:rPr>
          <w:rFonts w:ascii="Times New Roman" w:hAnsi="Times New Roman"/>
          <w:b w:val="1"/>
          <w:color w:val="000000"/>
          <w:sz w:val="27"/>
        </w:rPr>
      </w:pPr>
      <w:r>
        <w:rPr>
          <w:rFonts w:ascii="Times New Roman" w:hAnsi="Times New Roman"/>
          <w:b w:val="1"/>
          <w:color w:val="000000"/>
          <w:sz w:val="27"/>
        </w:rPr>
        <w:t>г. Сургут - 2023 – 2024 учебный год</w:t>
      </w:r>
    </w:p>
    <w:p w14:paraId="1A000000">
      <w:pPr>
        <w:spacing w:after="0" w:line="294" w:lineRule="atLeast"/>
        <w:ind/>
        <w:jc w:val="center"/>
        <w:rPr>
          <w:rFonts w:ascii="Times New Roman" w:hAnsi="Times New Roman"/>
          <w:b w:val="1"/>
          <w:color w:val="000000"/>
          <w:sz w:val="27"/>
        </w:rPr>
      </w:pPr>
    </w:p>
    <w:p w14:paraId="1B000000">
      <w:pPr>
        <w:spacing w:after="0" w:line="294" w:lineRule="atLeast"/>
        <w:ind/>
        <w:rPr>
          <w:rFonts w:ascii="Times New Roman" w:hAnsi="Times New Roman"/>
          <w:color w:val="000000"/>
          <w:sz w:val="27"/>
        </w:rPr>
      </w:pPr>
      <w:r>
        <w:rPr>
          <w:rFonts w:ascii="Times New Roman" w:hAnsi="Times New Roman"/>
          <w:b w:val="1"/>
          <w:color w:val="000000"/>
          <w:sz w:val="27"/>
        </w:rPr>
        <w:t>Тема: </w:t>
      </w:r>
      <w:r>
        <w:rPr>
          <w:rFonts w:ascii="Times New Roman" w:hAnsi="Times New Roman"/>
          <w:color w:val="000000"/>
          <w:sz w:val="27"/>
        </w:rPr>
        <w:t>Преемственность дошкольного и начального общего образования посредством дистанционного обучения</w:t>
      </w:r>
      <w:r>
        <w:rPr>
          <w:rFonts w:ascii="Times New Roman" w:hAnsi="Times New Roman"/>
          <w:color w:val="000000"/>
          <w:sz w:val="27"/>
        </w:rPr>
        <w:t>.</w:t>
      </w:r>
    </w:p>
    <w:p w14:paraId="1C000000">
      <w:pPr>
        <w:spacing w:after="0" w:line="294" w:lineRule="atLeast"/>
        <w:ind/>
        <w:rPr>
          <w:rFonts w:ascii="Times New Roman" w:hAnsi="Times New Roman"/>
          <w:color w:val="000000"/>
          <w:sz w:val="27"/>
        </w:rPr>
      </w:pPr>
    </w:p>
    <w:p w14:paraId="1D000000">
      <w:pPr>
        <w:spacing w:after="0" w:line="294" w:lineRule="atLeast"/>
        <w:ind/>
        <w:rPr>
          <w:rFonts w:ascii="Arial" w:hAnsi="Arial"/>
          <w:color w:val="000000"/>
          <w:sz w:val="21"/>
        </w:rPr>
      </w:pPr>
      <w:r>
        <w:rPr>
          <w:rFonts w:ascii="Times New Roman" w:hAnsi="Times New Roman"/>
          <w:b w:val="1"/>
          <w:color w:val="000000"/>
          <w:sz w:val="27"/>
          <w:u w:val="single"/>
        </w:rPr>
        <w:t>Актуальность темы.</w:t>
      </w:r>
    </w:p>
    <w:p w14:paraId="1E000000">
      <w:pPr>
        <w:spacing w:after="0" w:line="294" w:lineRule="atLeast"/>
        <w:ind w:firstLine="708" w:left="0"/>
        <w:rPr>
          <w:rFonts w:ascii="Arial" w:hAnsi="Arial"/>
          <w:color w:val="000000"/>
          <w:sz w:val="27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7"/>
          <w:highlight w:val="white"/>
        </w:rPr>
        <w:t xml:space="preserve">Преемственность дошкольного и начального образования - одна из сложнейших и все еще не решенных проблем общего образования </w:t>
      </w:r>
      <w:r>
        <w:rPr>
          <w:rFonts w:ascii="Times New Roman" w:hAnsi="Times New Roman"/>
          <w:color w:val="000000"/>
          <w:sz w:val="27"/>
        </w:rPr>
        <w:t>посредством дистанционного обучения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7"/>
          <w:highlight w:val="white"/>
        </w:rPr>
        <w:t>. Много лет она обсуждается среди ученых, специалистов органов управления образования, педагогов, родителей.         Актуальность проблемы преемственности дошкольного и начального общего образования обусловлена тем, что в настоящее время общими проблемами для всех уровней образования (дошкольное и начальное общее, начальное общее и основное общее и т. д.) являются несовпадения препятствующие стабильности и качественности в процессе получения образования.</w:t>
      </w:r>
    </w:p>
    <w:p w14:paraId="1F000000">
      <w:pPr>
        <w:spacing w:after="0" w:line="294" w:lineRule="atLeast"/>
        <w:ind/>
        <w:rPr>
          <w:rFonts w:ascii="Arial" w:hAnsi="Arial"/>
          <w:color w:val="000000"/>
          <w:sz w:val="21"/>
        </w:rPr>
      </w:pPr>
      <w:r>
        <w:rPr>
          <w:rFonts w:ascii="Times New Roman" w:hAnsi="Times New Roman"/>
          <w:b w:val="1"/>
          <w:color w:val="000000"/>
          <w:sz w:val="27"/>
        </w:rPr>
        <w:t>Цель самообразования: </w:t>
      </w:r>
      <w:r>
        <w:rPr>
          <w:rFonts w:ascii="Times New Roman" w:hAnsi="Times New Roman"/>
          <w:color w:val="000000"/>
          <w:sz w:val="27"/>
        </w:rPr>
        <w:t>повышение своего профессионального мастерства и компетентности</w:t>
      </w:r>
    </w:p>
    <w:p w14:paraId="20000000">
      <w:pPr>
        <w:spacing w:after="0" w:line="294" w:lineRule="atLeast"/>
        <w:ind/>
        <w:rPr>
          <w:rFonts w:ascii="Arial" w:hAnsi="Arial"/>
          <w:color w:val="000000"/>
          <w:sz w:val="21"/>
        </w:rPr>
      </w:pPr>
      <w:r>
        <w:rPr>
          <w:rFonts w:ascii="Times New Roman" w:hAnsi="Times New Roman"/>
          <w:b w:val="1"/>
          <w:color w:val="000000"/>
          <w:sz w:val="27"/>
        </w:rPr>
        <w:t>Задачи самообразования:</w:t>
      </w:r>
    </w:p>
    <w:p w14:paraId="21000000">
      <w:pPr>
        <w:spacing w:after="0" w:line="294" w:lineRule="atLeast"/>
        <w:ind/>
        <w:rPr>
          <w:rFonts w:ascii="Times New Roman" w:hAnsi="Times New Roman"/>
          <w:color w:val="000000"/>
          <w:sz w:val="27"/>
        </w:rPr>
      </w:pPr>
      <w:r>
        <w:rPr>
          <w:rFonts w:ascii="Times New Roman" w:hAnsi="Times New Roman"/>
          <w:color w:val="000000"/>
          <w:sz w:val="27"/>
        </w:rPr>
        <w:t>- повысить собственный уровень знаний путем изучения необходимой литературы.</w:t>
      </w:r>
    </w:p>
    <w:p w14:paraId="22000000">
      <w:pPr>
        <w:spacing w:after="0" w:line="294" w:lineRule="atLeast"/>
        <w:ind/>
        <w:rPr>
          <w:rFonts w:ascii="Arial" w:hAnsi="Arial"/>
          <w:color w:val="000000"/>
          <w:sz w:val="21"/>
        </w:rPr>
      </w:pPr>
    </w:p>
    <w:p w14:paraId="23000000">
      <w:pPr>
        <w:spacing w:after="0" w:line="294" w:lineRule="atLeast"/>
        <w:ind/>
        <w:rPr>
          <w:rFonts w:ascii="Times New Roman" w:hAnsi="Times New Roman"/>
          <w:b w:val="1"/>
          <w:color w:val="000000"/>
          <w:sz w:val="27"/>
        </w:rPr>
      </w:pPr>
    </w:p>
    <w:p w14:paraId="24000000">
      <w:pPr>
        <w:spacing w:after="0" w:line="294" w:lineRule="atLeast"/>
        <w:ind/>
        <w:rPr>
          <w:rFonts w:ascii="Arial" w:hAnsi="Arial"/>
          <w:color w:val="000000"/>
          <w:sz w:val="21"/>
        </w:rPr>
      </w:pPr>
      <w:r>
        <w:rPr>
          <w:rFonts w:ascii="Times New Roman" w:hAnsi="Times New Roman"/>
          <w:b w:val="1"/>
          <w:color w:val="000000"/>
          <w:sz w:val="27"/>
        </w:rPr>
        <w:t>Цель:</w:t>
      </w:r>
    </w:p>
    <w:p w14:paraId="25000000">
      <w:pPr>
        <w:numPr>
          <w:numId w:val="1"/>
        </w:numPr>
        <w:spacing w:after="0" w:line="294" w:lineRule="atLeast"/>
        <w:ind/>
        <w:rPr>
          <w:rFonts w:ascii="Times New Roman" w:hAnsi="Times New Roman"/>
          <w:color w:val="000000"/>
          <w:sz w:val="27"/>
        </w:rPr>
      </w:pPr>
      <w:r>
        <w:rPr>
          <w:rFonts w:ascii="Times New Roman" w:hAnsi="Times New Roman"/>
          <w:color w:val="000000"/>
          <w:sz w:val="27"/>
        </w:rPr>
        <w:t>Изучить преемственность дошкольного и начального общего образования посредством дистанционного обучения</w:t>
      </w:r>
      <w:r>
        <w:rPr>
          <w:rFonts w:ascii="Times New Roman" w:hAnsi="Times New Roman"/>
          <w:color w:val="000000"/>
          <w:sz w:val="27"/>
        </w:rPr>
        <w:t>.</w:t>
      </w:r>
    </w:p>
    <w:p w14:paraId="26000000">
      <w:pPr>
        <w:spacing w:after="0" w:line="294" w:lineRule="atLeast"/>
        <w:ind/>
        <w:rPr>
          <w:rFonts w:ascii="Arial" w:hAnsi="Arial"/>
          <w:color w:val="000000"/>
          <w:sz w:val="21"/>
        </w:rPr>
      </w:pPr>
    </w:p>
    <w:p w14:paraId="27000000">
      <w:pPr>
        <w:spacing w:after="0" w:line="294" w:lineRule="atLeast"/>
        <w:ind/>
        <w:rPr>
          <w:rFonts w:ascii="Arial" w:hAnsi="Arial"/>
          <w:color w:val="000000"/>
          <w:sz w:val="21"/>
        </w:rPr>
      </w:pPr>
      <w:r>
        <w:rPr>
          <w:rFonts w:ascii="Times New Roman" w:hAnsi="Times New Roman"/>
          <w:b w:val="1"/>
          <w:color w:val="111111"/>
          <w:sz w:val="27"/>
        </w:rPr>
        <w:t>Задачи:</w:t>
      </w:r>
    </w:p>
    <w:p w14:paraId="28000000">
      <w:pPr>
        <w:numPr>
          <w:ilvl w:val="0"/>
          <w:numId w:val="2"/>
        </w:numPr>
        <w:spacing w:after="0" w:line="294" w:lineRule="atLeast"/>
        <w:ind/>
        <w:rPr>
          <w:rFonts w:ascii="Arial" w:hAnsi="Arial"/>
          <w:color w:val="000000"/>
          <w:sz w:val="21"/>
        </w:rPr>
      </w:pPr>
      <w:r>
        <w:rPr>
          <w:rFonts w:ascii="Times New Roman" w:hAnsi="Times New Roman"/>
          <w:color w:val="111111"/>
          <w:sz w:val="27"/>
        </w:rPr>
        <w:t>Обогащать словарь ;</w:t>
      </w:r>
    </w:p>
    <w:p w14:paraId="29000000">
      <w:pPr>
        <w:numPr>
          <w:ilvl w:val="0"/>
          <w:numId w:val="2"/>
        </w:numPr>
        <w:spacing w:after="0" w:line="294" w:lineRule="atLeast"/>
        <w:ind/>
        <w:rPr>
          <w:rFonts w:ascii="Arial" w:hAnsi="Arial"/>
          <w:color w:val="000000"/>
          <w:sz w:val="21"/>
        </w:rPr>
      </w:pPr>
      <w:r>
        <w:rPr>
          <w:rFonts w:ascii="Times New Roman" w:hAnsi="Times New Roman"/>
          <w:color w:val="111111"/>
          <w:sz w:val="27"/>
        </w:rPr>
        <w:t xml:space="preserve">Формировать  умение оценивать  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7"/>
          <w:highlight w:val="white"/>
        </w:rPr>
        <w:t>несовпадения препятствующие стабильности и качественности в процессе получения образования</w:t>
      </w:r>
      <w:r>
        <w:rPr>
          <w:rFonts w:ascii="Times New Roman" w:hAnsi="Times New Roman"/>
          <w:color w:val="111111"/>
          <w:sz w:val="27"/>
        </w:rPr>
        <w:t>;</w:t>
      </w:r>
    </w:p>
    <w:p w14:paraId="2A000000">
      <w:pPr>
        <w:numPr>
          <w:ilvl w:val="0"/>
          <w:numId w:val="2"/>
        </w:numPr>
        <w:spacing w:after="0" w:line="294" w:lineRule="atLeast"/>
        <w:ind/>
        <w:rPr>
          <w:rFonts w:ascii="Arial" w:hAnsi="Arial"/>
          <w:color w:val="000000"/>
          <w:sz w:val="21"/>
        </w:rPr>
      </w:pPr>
      <w:r>
        <w:rPr>
          <w:rFonts w:ascii="Times New Roman" w:hAnsi="Times New Roman"/>
          <w:color w:val="111111"/>
          <w:sz w:val="27"/>
        </w:rPr>
        <w:t>Продолжать развивать интерес к художественной литературе.</w:t>
      </w:r>
    </w:p>
    <w:p w14:paraId="2B000000">
      <w:pPr>
        <w:spacing w:after="0" w:line="294" w:lineRule="atLeast"/>
        <w:ind/>
        <w:rPr>
          <w:rFonts w:ascii="Arial" w:hAnsi="Arial"/>
          <w:color w:val="000000"/>
          <w:sz w:val="21"/>
        </w:rPr>
      </w:pPr>
      <w:r>
        <w:rPr>
          <w:rFonts w:ascii="Arial" w:hAnsi="Arial"/>
          <w:color w:val="000000"/>
          <w:sz w:val="21"/>
        </w:rPr>
        <w:br/>
      </w:r>
    </w:p>
    <w:p w14:paraId="2C000000">
      <w:pPr>
        <w:spacing w:after="0" w:line="294" w:lineRule="atLeast"/>
        <w:ind/>
        <w:rPr>
          <w:rFonts w:ascii="Arial" w:hAnsi="Arial"/>
          <w:color w:val="000000"/>
          <w:sz w:val="21"/>
        </w:rPr>
      </w:pPr>
      <w:r>
        <w:rPr>
          <w:rFonts w:ascii="Arial" w:hAnsi="Arial"/>
          <w:color w:val="000000"/>
          <w:sz w:val="21"/>
        </w:rPr>
        <w:br/>
      </w:r>
    </w:p>
    <w:p w14:paraId="2D000000">
      <w:pPr>
        <w:spacing w:after="0" w:line="294" w:lineRule="atLeast"/>
        <w:ind/>
        <w:rPr>
          <w:rFonts w:ascii="Arial" w:hAnsi="Arial"/>
          <w:color w:val="000000"/>
          <w:sz w:val="21"/>
        </w:rPr>
      </w:pPr>
      <w:r>
        <w:rPr>
          <w:rFonts w:ascii="Arial" w:hAnsi="Arial"/>
          <w:color w:val="000000"/>
          <w:sz w:val="21"/>
        </w:rPr>
        <w:br/>
      </w:r>
    </w:p>
    <w:p w14:paraId="2E000000">
      <w:pPr>
        <w:spacing w:after="0" w:line="294" w:lineRule="atLeast"/>
        <w:ind/>
        <w:rPr>
          <w:rFonts w:ascii="Arial" w:hAnsi="Arial"/>
          <w:color w:val="000000"/>
          <w:sz w:val="21"/>
        </w:rPr>
      </w:pPr>
    </w:p>
    <w:p w14:paraId="2F000000">
      <w:pPr>
        <w:spacing w:after="0" w:line="294" w:lineRule="atLeast"/>
        <w:ind/>
        <w:rPr>
          <w:rFonts w:ascii="Arial" w:hAnsi="Arial"/>
          <w:color w:val="000000"/>
          <w:sz w:val="21"/>
        </w:rPr>
      </w:pPr>
    </w:p>
    <w:p w14:paraId="30000000">
      <w:pPr>
        <w:spacing w:after="0" w:line="294" w:lineRule="atLeast"/>
        <w:ind/>
        <w:rPr>
          <w:rFonts w:ascii="Arial" w:hAnsi="Arial"/>
          <w:color w:val="000000"/>
          <w:sz w:val="21"/>
        </w:rPr>
      </w:pPr>
      <w:r>
        <w:rPr>
          <w:rFonts w:ascii="Arial" w:hAnsi="Arial"/>
          <w:color w:val="000000"/>
          <w:sz w:val="21"/>
        </w:rPr>
        <w:br/>
      </w:r>
    </w:p>
    <w:p w14:paraId="31000000">
      <w:pPr>
        <w:spacing w:after="0" w:line="294" w:lineRule="atLeast"/>
        <w:ind/>
        <w:jc w:val="center"/>
        <w:rPr>
          <w:rFonts w:ascii="Times New Roman" w:hAnsi="Times New Roman"/>
          <w:b w:val="1"/>
          <w:color w:val="000000"/>
          <w:sz w:val="27"/>
        </w:rPr>
      </w:pPr>
    </w:p>
    <w:p w14:paraId="32000000">
      <w:pPr>
        <w:spacing w:after="0" w:line="294" w:lineRule="atLeast"/>
        <w:ind/>
        <w:jc w:val="center"/>
        <w:rPr>
          <w:rFonts w:ascii="Arial" w:hAnsi="Arial"/>
          <w:color w:val="000000"/>
          <w:sz w:val="21"/>
        </w:rPr>
      </w:pPr>
    </w:p>
    <w:p w14:paraId="33000000">
      <w:pPr>
        <w:spacing w:after="0" w:line="294" w:lineRule="atLeast"/>
        <w:ind/>
        <w:jc w:val="center"/>
        <w:rPr>
          <w:rFonts w:ascii="Arial" w:hAnsi="Arial"/>
          <w:color w:val="000000"/>
          <w:sz w:val="21"/>
        </w:rPr>
      </w:pPr>
    </w:p>
    <w:p w14:paraId="34000000">
      <w:pPr>
        <w:spacing w:after="0" w:line="294" w:lineRule="atLeast"/>
        <w:ind/>
        <w:jc w:val="center"/>
        <w:rPr>
          <w:rFonts w:ascii="Arial" w:hAnsi="Arial"/>
          <w:color w:val="000000"/>
          <w:sz w:val="21"/>
        </w:rPr>
      </w:pPr>
    </w:p>
    <w:p w14:paraId="35000000">
      <w:pPr>
        <w:spacing w:after="0" w:line="294" w:lineRule="atLeast"/>
        <w:ind/>
        <w:jc w:val="center"/>
        <w:rPr>
          <w:rFonts w:ascii="Arial" w:hAnsi="Arial"/>
          <w:color w:val="000000"/>
          <w:sz w:val="21"/>
        </w:rPr>
      </w:pPr>
    </w:p>
    <w:p w14:paraId="36000000">
      <w:pPr>
        <w:spacing w:after="0" w:line="294" w:lineRule="atLeast"/>
        <w:ind/>
        <w:jc w:val="center"/>
        <w:rPr>
          <w:rFonts w:ascii="Arial" w:hAnsi="Arial"/>
          <w:color w:val="000000"/>
          <w:sz w:val="21"/>
        </w:rPr>
      </w:pPr>
    </w:p>
    <w:p w14:paraId="37000000">
      <w:pPr>
        <w:spacing w:after="0" w:line="294" w:lineRule="atLeast"/>
        <w:ind/>
        <w:jc w:val="center"/>
        <w:rPr>
          <w:rFonts w:ascii="Arial" w:hAnsi="Arial"/>
          <w:color w:val="000000"/>
          <w:sz w:val="21"/>
        </w:rPr>
      </w:pPr>
    </w:p>
    <w:p w14:paraId="38000000">
      <w:pPr>
        <w:spacing w:after="0" w:line="294" w:lineRule="atLeast"/>
        <w:ind/>
        <w:jc w:val="center"/>
        <w:rPr>
          <w:rFonts w:ascii="Arial" w:hAnsi="Arial"/>
          <w:color w:val="000000"/>
          <w:sz w:val="21"/>
        </w:rPr>
      </w:pPr>
      <w:r>
        <w:rPr>
          <w:rFonts w:ascii="Times New Roman" w:hAnsi="Times New Roman"/>
          <w:b w:val="1"/>
          <w:color w:val="000000"/>
          <w:sz w:val="27"/>
        </w:rPr>
        <w:t>Перспективное планирование на 2023-2024 учебный год</w:t>
      </w:r>
    </w:p>
    <w:p w14:paraId="39000000">
      <w:pPr>
        <w:spacing w:after="0" w:line="294" w:lineRule="atLeast"/>
        <w:ind/>
        <w:jc w:val="center"/>
        <w:rPr>
          <w:rFonts w:ascii="Arial" w:hAnsi="Arial"/>
          <w:color w:val="000000"/>
          <w:sz w:val="40"/>
        </w:rPr>
      </w:pPr>
    </w:p>
    <w:tbl>
      <w:tblPr>
        <w:tblStyle w:val="Style_1"/>
        <w:tblLayout w:type="fixed"/>
      </w:tblPr>
      <w:tblGrid>
        <w:gridCol w:w="865"/>
        <w:gridCol w:w="2284"/>
        <w:gridCol w:w="2115"/>
        <w:gridCol w:w="3900"/>
      </w:tblGrid>
      <w:tr>
        <w:trPr>
          <w:trHeight w:hRule="atLeast" w:val="1134"/>
        </w:trPr>
        <w:tc>
          <w:tcPr>
            <w:tcW w:type="dxa" w:w="865"/>
            <w:textDirection w:val="btLr"/>
          </w:tcPr>
          <w:p w14:paraId="3A000000">
            <w:pPr>
              <w:ind w:firstLine="0" w:left="113" w:right="113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Сроки выполнения</w:t>
            </w:r>
          </w:p>
        </w:tc>
        <w:tc>
          <w:tcPr>
            <w:tcW w:type="dxa" w:w="2284"/>
          </w:tcPr>
          <w:p w14:paraId="3B000000">
            <w:pPr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Содержание работы</w:t>
            </w:r>
          </w:p>
        </w:tc>
        <w:tc>
          <w:tcPr>
            <w:tcW w:type="dxa" w:w="2115"/>
          </w:tcPr>
          <w:p w14:paraId="3C000000">
            <w:pPr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 xml:space="preserve">Результат </w:t>
            </w:r>
          </w:p>
        </w:tc>
        <w:tc>
          <w:tcPr>
            <w:tcW w:type="dxa" w:w="3900"/>
          </w:tcPr>
          <w:p w14:paraId="3D000000">
            <w:pPr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Литература</w:t>
            </w:r>
          </w:p>
        </w:tc>
      </w:tr>
      <w:tr>
        <w:trPr>
          <w:trHeight w:hRule="atLeast" w:val="1134"/>
        </w:trPr>
        <w:tc>
          <w:tcPr>
            <w:tcW w:type="dxa" w:w="865"/>
            <w:textDirection w:val="btLr"/>
          </w:tcPr>
          <w:p w14:paraId="3E000000">
            <w:pPr>
              <w:ind w:firstLine="0" w:left="113" w:right="113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Сентябрь</w:t>
            </w:r>
          </w:p>
        </w:tc>
        <w:tc>
          <w:tcPr>
            <w:tcW w:type="dxa" w:w="2284"/>
          </w:tcPr>
          <w:p w14:paraId="3F000000">
            <w:pPr>
              <w:rPr>
                <w:rFonts w:ascii="Times New Roman" w:hAnsi="Times New Roman"/>
                <w:color w:val="111111"/>
                <w:sz w:val="24"/>
              </w:rPr>
            </w:pPr>
            <w:r>
              <w:rPr>
                <w:rFonts w:ascii="Times New Roman" w:hAnsi="Times New Roman"/>
                <w:color w:val="111111"/>
                <w:sz w:val="24"/>
              </w:rPr>
              <w:t>Подбор и изучение методической литературы.</w:t>
            </w:r>
          </w:p>
          <w:p w14:paraId="40000000">
            <w:pPr>
              <w:rPr>
                <w:rFonts w:ascii="Times New Roman" w:hAnsi="Times New Roman"/>
                <w:color w:val="111111"/>
                <w:sz w:val="24"/>
              </w:rPr>
            </w:pPr>
          </w:p>
          <w:p w14:paraId="41000000">
            <w:pPr>
              <w:rPr>
                <w:rFonts w:ascii="Times New Roman" w:hAnsi="Times New Roman"/>
                <w:color w:val="111111"/>
                <w:sz w:val="24"/>
              </w:rPr>
            </w:pPr>
            <w:r>
              <w:rPr>
                <w:rFonts w:ascii="Times New Roman" w:hAnsi="Times New Roman"/>
                <w:color w:val="111111"/>
                <w:sz w:val="24"/>
              </w:rPr>
              <w:t>Изучение передового опыта педагогов, внедрение в педагогический процесс.</w:t>
            </w:r>
          </w:p>
          <w:p w14:paraId="42000000">
            <w:pPr>
              <w:spacing w:line="294" w:lineRule="atLeast"/>
              <w:ind/>
              <w:jc w:val="center"/>
              <w:rPr>
                <w:rFonts w:ascii="Arial" w:hAnsi="Arial"/>
                <w:color w:val="000000"/>
                <w:sz w:val="24"/>
              </w:rPr>
            </w:pPr>
          </w:p>
        </w:tc>
        <w:tc>
          <w:tcPr>
            <w:tcW w:type="dxa" w:w="2115"/>
          </w:tcPr>
          <w:p w14:paraId="43000000">
            <w:pPr>
              <w:spacing w:line="294" w:lineRule="atLeast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Изучение и внедрение ФГОС</w:t>
            </w:r>
          </w:p>
          <w:p w14:paraId="44000000">
            <w:pPr>
              <w:spacing w:line="294" w:lineRule="atLeast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45000000">
            <w:pPr>
              <w:spacing w:line="294" w:lineRule="atLeast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46000000">
            <w:pPr>
              <w:spacing w:line="294" w:lineRule="atLeast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47000000">
            <w:pPr>
              <w:spacing w:line="294" w:lineRule="atLeast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48000000">
            <w:pPr>
              <w:spacing w:afterAutospacing="on" w:beforeAutospacing="on"/>
              <w:ind/>
              <w:rPr>
                <w:rFonts w:ascii="Times New Roman" w:hAnsi="Times New Roman"/>
                <w:color w:val="000000"/>
                <w:sz w:val="24"/>
              </w:rPr>
            </w:pPr>
          </w:p>
          <w:p w14:paraId="49000000">
            <w:pPr>
              <w:spacing w:line="294" w:lineRule="atLeast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3900"/>
          </w:tcPr>
          <w:p w14:paraId="4A000000">
            <w:pPr>
              <w:spacing w:after="0" w:before="0"/>
              <w:ind w:right="0"/>
              <w:jc w:val="left"/>
              <w:rPr>
                <w:rFonts w:ascii="Calibri" w:hAnsi="Calibri"/>
                <w:b w:val="0"/>
                <w:i w:val="0"/>
                <w:caps w:val="0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trike w:val="0"/>
                <w:color w:val="000000"/>
                <w:spacing w:val="0"/>
                <w:sz w:val="24"/>
                <w:highlight w:val="white"/>
              </w:rPr>
              <w:t>1.Должикова Р. А., Федосимов Г. М. «Реализация преемственности при обучении и воспитании детей в ДОУ и начальной школе», М, 2008, 128с.</w:t>
            </w:r>
          </w:p>
          <w:p w14:paraId="4B000000">
            <w:pPr>
              <w:spacing w:after="0" w:before="0"/>
              <w:ind w:right="0"/>
              <w:jc w:val="left"/>
              <w:rPr>
                <w:rFonts w:ascii="Calibri" w:hAnsi="Calibri"/>
                <w:b w:val="0"/>
                <w:i w:val="0"/>
                <w:caps w:val="0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trike w:val="0"/>
                <w:color w:val="000000"/>
                <w:spacing w:val="0"/>
                <w:sz w:val="24"/>
                <w:highlight w:val="white"/>
              </w:rPr>
              <w:t>2.Концепция содержания непрерывного образования (дошкольное и начальное звено) // Содержание образования в двенадцатилетней школе. – М., 2000.-С.3-25.</w:t>
            </w:r>
          </w:p>
          <w:p w14:paraId="4C000000">
            <w:pPr>
              <w:spacing w:after="0" w:before="0"/>
              <w:ind w:right="0"/>
              <w:jc w:val="left"/>
              <w:rPr>
                <w:rFonts w:ascii="Calibri" w:hAnsi="Calibri"/>
                <w:b w:val="0"/>
                <w:i w:val="0"/>
                <w:caps w:val="0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trike w:val="0"/>
                <w:color w:val="000000"/>
                <w:spacing w:val="0"/>
                <w:sz w:val="24"/>
                <w:highlight w:val="white"/>
              </w:rPr>
              <w:t>3.Слободчиков В. И., Короткова Н.А., Нежнов П.Г., Кириллов И.Л. Дошкольное образование как ступень системы общего образования: Научная концепция / М., 2005. – 28 с.</w:t>
            </w:r>
          </w:p>
          <w:p w14:paraId="4D000000">
            <w:pPr>
              <w:spacing w:after="0" w:before="0"/>
              <w:ind w:right="0"/>
              <w:jc w:val="left"/>
              <w:rPr>
                <w:rFonts w:ascii="Calibri" w:hAnsi="Calibri"/>
                <w:b w:val="0"/>
                <w:i w:val="0"/>
                <w:caps w:val="0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trike w:val="0"/>
                <w:color w:val="000000"/>
                <w:spacing w:val="0"/>
                <w:sz w:val="24"/>
                <w:highlight w:val="white"/>
              </w:rPr>
              <w:t>4.Арнаутова</w:t>
            </w:r>
            <w:r>
              <w:rPr>
                <w:rFonts w:ascii="Times New Roman" w:hAnsi="Times New Roman"/>
                <w:b w:val="1"/>
                <w:i w:val="0"/>
                <w:caps w:val="0"/>
                <w:strike w:val="0"/>
                <w:color w:val="000000"/>
                <w:spacing w:val="0"/>
                <w:sz w:val="24"/>
                <w:highlight w:val="white"/>
              </w:rPr>
              <w:t> </w:t>
            </w:r>
            <w:r>
              <w:rPr>
                <w:rFonts w:ascii="Times New Roman" w:hAnsi="Times New Roman"/>
                <w:b w:val="0"/>
                <w:i w:val="0"/>
                <w:caps w:val="0"/>
                <w:strike w:val="0"/>
                <w:color w:val="000000"/>
                <w:spacing w:val="0"/>
                <w:sz w:val="24"/>
                <w:highlight w:val="white"/>
              </w:rPr>
              <w:t>Е.П. Преемственные</w:t>
            </w:r>
            <w:r>
              <w:rPr>
                <w:rFonts w:ascii="Times New Roman" w:hAnsi="Times New Roman"/>
                <w:b w:val="1"/>
                <w:i w:val="0"/>
                <w:caps w:val="0"/>
                <w:strike w:val="0"/>
                <w:color w:val="000000"/>
                <w:spacing w:val="0"/>
                <w:sz w:val="24"/>
                <w:highlight w:val="white"/>
              </w:rPr>
              <w:t> </w:t>
            </w:r>
            <w:r>
              <w:rPr>
                <w:rFonts w:ascii="Times New Roman" w:hAnsi="Times New Roman"/>
                <w:b w:val="0"/>
                <w:i w:val="0"/>
                <w:caps w:val="0"/>
                <w:strike w:val="0"/>
                <w:color w:val="000000"/>
                <w:spacing w:val="0"/>
                <w:sz w:val="24"/>
                <w:highlight w:val="white"/>
              </w:rPr>
              <w:t>связи ДОУ, школы и родителей будущих</w:t>
            </w:r>
            <w:r>
              <w:br/>
            </w:r>
            <w:r>
              <w:rPr>
                <w:rFonts w:ascii="Times New Roman" w:hAnsi="Times New Roman"/>
                <w:b w:val="0"/>
                <w:i w:val="0"/>
                <w:caps w:val="0"/>
                <w:strike w:val="0"/>
                <w:color w:val="000000"/>
                <w:spacing w:val="0"/>
                <w:sz w:val="24"/>
                <w:highlight w:val="white"/>
              </w:rPr>
              <w:t>первоклассников: Методическое пособие / Е.П.,</w:t>
            </w:r>
            <w:r>
              <w:br/>
            </w:r>
            <w:r>
              <w:rPr>
                <w:rFonts w:ascii="Times New Roman" w:hAnsi="Times New Roman"/>
                <w:b w:val="0"/>
                <w:i w:val="0"/>
                <w:caps w:val="0"/>
                <w:strike w:val="0"/>
                <w:color w:val="000000"/>
                <w:spacing w:val="0"/>
                <w:sz w:val="24"/>
                <w:highlight w:val="white"/>
              </w:rPr>
              <w:t>ГГ. Зубова, Л.А. Ермакова, Е.А. Кулакова; Под ред. Е.П. Арна-</w:t>
            </w:r>
            <w:r>
              <w:br/>
            </w:r>
            <w:r>
              <w:rPr>
                <w:rFonts w:ascii="Times New Roman" w:hAnsi="Times New Roman"/>
                <w:b w:val="0"/>
                <w:i w:val="0"/>
                <w:caps w:val="0"/>
                <w:strike w:val="0"/>
                <w:color w:val="000000"/>
                <w:spacing w:val="0"/>
                <w:sz w:val="24"/>
                <w:highlight w:val="white"/>
              </w:rPr>
              <w:t>утовой. — М.: ТЦ Сфера, 2006. — 128 с</w:t>
            </w:r>
          </w:p>
        </w:tc>
      </w:tr>
      <w:tr>
        <w:trPr>
          <w:trHeight w:hRule="atLeast" w:val="1556"/>
        </w:trPr>
        <w:tc>
          <w:tcPr>
            <w:tcW w:type="dxa" w:w="865"/>
            <w:textDirection w:val="btLr"/>
          </w:tcPr>
          <w:p w14:paraId="4E000000">
            <w:pPr>
              <w:ind w:firstLine="0" w:left="113" w:right="113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Октябрь</w:t>
            </w:r>
          </w:p>
        </w:tc>
        <w:tc>
          <w:tcPr>
            <w:tcW w:type="dxa" w:w="2284"/>
          </w:tcPr>
          <w:p w14:paraId="4F000000">
            <w:pPr>
              <w:spacing w:afterAutospacing="on" w:beforeAutospacing="on" w:line="234" w:lineRule="atLeast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Изучение условий организации</w:t>
            </w:r>
            <w:r>
              <w:rPr>
                <w:rFonts w:ascii="Calibri" w:hAnsi="Calibri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создания психологического комфорта в группе детского сада.</w:t>
            </w:r>
          </w:p>
        </w:tc>
        <w:tc>
          <w:tcPr>
            <w:tcW w:type="dxa" w:w="2115"/>
          </w:tcPr>
          <w:p w14:paraId="50000000">
            <w:pPr>
              <w:spacing w:afterAutospacing="on" w:beforeAutospacing="on" w:line="234" w:lineRule="atLeast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Анкета для педагогов</w:t>
            </w:r>
          </w:p>
          <w:p w14:paraId="51000000">
            <w:pPr>
              <w:spacing w:afterAutospacing="on" w:beforeAutospacing="on" w:line="234" w:lineRule="atLeast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52000000">
            <w:pPr>
              <w:spacing w:afterAutospacing="on" w:beforeAutospacing="on" w:line="234" w:lineRule="atLeast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900"/>
          </w:tcPr>
          <w:p w14:paraId="53000000">
            <w:pPr>
              <w:spacing w:line="294" w:lineRule="atLeast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>
        <w:trPr>
          <w:trHeight w:hRule="atLeast" w:val="1134"/>
        </w:trPr>
        <w:tc>
          <w:tcPr>
            <w:tcW w:type="dxa" w:w="865"/>
            <w:textDirection w:val="btLr"/>
          </w:tcPr>
          <w:p w14:paraId="54000000">
            <w:pPr>
              <w:ind w:firstLine="0" w:left="113" w:right="113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Ноябрь</w:t>
            </w:r>
          </w:p>
        </w:tc>
        <w:tc>
          <w:tcPr>
            <w:tcW w:type="dxa" w:w="2284"/>
          </w:tcPr>
          <w:p w14:paraId="55000000">
            <w:pPr>
              <w:spacing w:line="294" w:lineRule="atLeast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Изучение условий организации</w:t>
            </w:r>
            <w:r>
              <w:rPr>
                <w:rFonts w:ascii="Calibri" w:hAnsi="Calibri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создания психологического комфорта в группе детского сада.</w:t>
            </w:r>
          </w:p>
        </w:tc>
        <w:tc>
          <w:tcPr>
            <w:tcW w:type="dxa" w:w="2115"/>
          </w:tcPr>
          <w:p w14:paraId="56000000">
            <w:pPr>
              <w:spacing w:line="294" w:lineRule="atLeast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Провела «Диагностику развития общения со сверстниками»</w:t>
            </w:r>
          </w:p>
          <w:p w14:paraId="57000000">
            <w:pPr>
              <w:spacing w:line="294" w:lineRule="atLeast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3900"/>
          </w:tcPr>
          <w:p w14:paraId="58000000">
            <w:pPr>
              <w:spacing w:line="294" w:lineRule="atLeast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>
        <w:trPr>
          <w:trHeight w:hRule="atLeast" w:val="1134"/>
        </w:trPr>
        <w:tc>
          <w:tcPr>
            <w:tcW w:type="dxa" w:w="865"/>
            <w:textDirection w:val="btLr"/>
          </w:tcPr>
          <w:p w14:paraId="59000000">
            <w:pPr>
              <w:ind w:firstLine="0" w:left="113" w:right="113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Декабрь</w:t>
            </w:r>
          </w:p>
        </w:tc>
        <w:tc>
          <w:tcPr>
            <w:tcW w:type="dxa" w:w="2284"/>
          </w:tcPr>
          <w:p w14:paraId="5A000000">
            <w:pPr>
              <w:spacing w:line="294" w:lineRule="atLeast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Исследование педагогической компетентности воспитателей по созданию психологического комфорта в группе детского сада.</w:t>
            </w:r>
          </w:p>
          <w:p w14:paraId="5B000000">
            <w:pPr>
              <w:spacing w:line="294" w:lineRule="atLeast"/>
              <w:ind/>
              <w:rPr>
                <w:rFonts w:ascii="Arial" w:hAnsi="Arial"/>
                <w:color w:val="000000"/>
                <w:sz w:val="24"/>
              </w:rPr>
            </w:pPr>
          </w:p>
        </w:tc>
        <w:tc>
          <w:tcPr>
            <w:tcW w:type="dxa" w:w="2115"/>
          </w:tcPr>
          <w:p w14:paraId="5C000000">
            <w:pPr>
              <w:spacing w:line="294" w:lineRule="atLeast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Консультация для воспитателей на тему «</w:t>
            </w:r>
            <w:r>
              <w:rPr>
                <w:rFonts w:ascii="Times New Roman" w:hAnsi="Times New Roman"/>
                <w:b w:val="0"/>
                <w:i w:val="0"/>
                <w:caps w:val="0"/>
                <w:strike w:val="0"/>
                <w:color w:val="000000"/>
                <w:spacing w:val="0"/>
                <w:sz w:val="24"/>
                <w:highlight w:val="white"/>
              </w:rPr>
              <w:t>Преемственные</w:t>
            </w:r>
            <w:r>
              <w:rPr>
                <w:rFonts w:ascii="Times New Roman" w:hAnsi="Times New Roman"/>
                <w:b w:val="1"/>
                <w:i w:val="0"/>
                <w:caps w:val="0"/>
                <w:strike w:val="0"/>
                <w:color w:val="000000"/>
                <w:spacing w:val="0"/>
                <w:sz w:val="24"/>
                <w:highlight w:val="white"/>
              </w:rPr>
              <w:t> </w:t>
            </w:r>
            <w:r>
              <w:rPr>
                <w:rFonts w:ascii="Times New Roman" w:hAnsi="Times New Roman"/>
                <w:b w:val="0"/>
                <w:i w:val="0"/>
                <w:caps w:val="0"/>
                <w:strike w:val="0"/>
                <w:color w:val="000000"/>
                <w:spacing w:val="0"/>
                <w:sz w:val="24"/>
                <w:highlight w:val="white"/>
              </w:rPr>
              <w:t>связи ДОУ, школы и родителей будущих</w:t>
            </w:r>
            <w:r>
              <w:br/>
            </w:r>
            <w:r>
              <w:rPr>
                <w:rFonts w:ascii="Times New Roman" w:hAnsi="Times New Roman"/>
                <w:b w:val="0"/>
                <w:i w:val="0"/>
                <w:caps w:val="0"/>
                <w:strike w:val="0"/>
                <w:color w:val="000000"/>
                <w:spacing w:val="0"/>
                <w:sz w:val="24"/>
                <w:highlight w:val="white"/>
              </w:rPr>
              <w:t>первоклассников</w:t>
            </w:r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type="dxa" w:w="3900"/>
          </w:tcPr>
          <w:p w14:paraId="5D000000">
            <w:pPr>
              <w:spacing w:line="294" w:lineRule="atLeast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>
        <w:trPr>
          <w:trHeight w:hRule="atLeast" w:val="4416"/>
        </w:trPr>
        <w:tc>
          <w:tcPr>
            <w:tcW w:type="dxa" w:w="865"/>
            <w:textDirection w:val="btLr"/>
          </w:tcPr>
          <w:p w14:paraId="5E000000">
            <w:pPr>
              <w:ind w:firstLine="0" w:left="113" w:right="113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Январь</w:t>
            </w:r>
          </w:p>
        </w:tc>
        <w:tc>
          <w:tcPr>
            <w:tcW w:type="dxa" w:w="2284"/>
          </w:tcPr>
          <w:p w14:paraId="5F000000">
            <w:pPr>
              <w:spacing w:line="294" w:lineRule="atLeast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Исследование педагогической компетентности родителей и воспитателей по созданию п</w:t>
            </w:r>
            <w:r>
              <w:rPr>
                <w:rFonts w:ascii="Times New Roman" w:hAnsi="Times New Roman"/>
                <w:color w:val="000000"/>
                <w:sz w:val="24"/>
              </w:rPr>
              <w:t>реемственности дошкольного и начального общего образования посредством дистанционного обучения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type="dxa" w:w="2115"/>
          </w:tcPr>
          <w:p w14:paraId="60000000">
            <w:pPr>
              <w:spacing w:line="294" w:lineRule="atLeast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Тест родителей на тему «Хороший ли друг ваш ребенок».</w:t>
            </w:r>
          </w:p>
          <w:p w14:paraId="61000000">
            <w:pPr>
              <w:spacing w:line="294" w:lineRule="atLeast"/>
              <w:ind/>
              <w:rPr>
                <w:rFonts w:ascii="Times New Roman" w:hAnsi="Times New Roman"/>
                <w:color w:val="000000"/>
                <w:sz w:val="24"/>
              </w:rPr>
            </w:pPr>
          </w:p>
          <w:p w14:paraId="62000000">
            <w:pPr>
              <w:spacing w:line="294" w:lineRule="atLeast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Консультации для родителей </w:t>
            </w:r>
            <w:r>
              <w:rPr>
                <w:rFonts w:ascii="Times New Roman" w:hAnsi="Times New Roman"/>
                <w:color w:val="000000"/>
                <w:sz w:val="24"/>
              </w:rPr>
              <w:t>«</w:t>
            </w:r>
            <w:r>
              <w:rPr>
                <w:rFonts w:ascii="Times New Roman" w:hAnsi="Times New Roman"/>
                <w:color w:val="000000"/>
                <w:sz w:val="24"/>
              </w:rPr>
              <w:t>Преемственность дошкольного и начального общего образования посредством дистанционного обучения</w:t>
            </w:r>
            <w:r>
              <w:rPr>
                <w:rFonts w:ascii="Times New Roman" w:hAnsi="Times New Roman"/>
                <w:color w:val="000000"/>
                <w:sz w:val="24"/>
              </w:rPr>
              <w:t>.»</w:t>
            </w:r>
          </w:p>
        </w:tc>
        <w:tc>
          <w:tcPr>
            <w:tcW w:type="dxa" w:w="3900"/>
          </w:tcPr>
          <w:p w14:paraId="63000000">
            <w:pPr>
              <w:spacing w:line="294" w:lineRule="atLeast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>
        <w:trPr>
          <w:trHeight w:hRule="atLeast" w:val="1134"/>
        </w:trPr>
        <w:tc>
          <w:tcPr>
            <w:tcW w:type="dxa" w:w="865"/>
            <w:textDirection w:val="btLr"/>
          </w:tcPr>
          <w:p w14:paraId="64000000">
            <w:pPr>
              <w:ind w:firstLine="0" w:left="113" w:right="113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Февраль</w:t>
            </w:r>
          </w:p>
        </w:tc>
        <w:tc>
          <w:tcPr>
            <w:tcW w:type="dxa" w:w="2284"/>
          </w:tcPr>
          <w:p w14:paraId="65000000">
            <w:pPr>
              <w:spacing w:line="294" w:lineRule="atLeast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Подбор литературы по теме.</w:t>
            </w:r>
          </w:p>
          <w:p w14:paraId="66000000">
            <w:pPr>
              <w:spacing w:line="294" w:lineRule="atLeast"/>
              <w:ind/>
              <w:rPr>
                <w:rFonts w:ascii="Arial" w:hAnsi="Arial"/>
                <w:color w:val="000000"/>
                <w:sz w:val="24"/>
              </w:rPr>
            </w:pPr>
          </w:p>
        </w:tc>
        <w:tc>
          <w:tcPr>
            <w:tcW w:type="dxa" w:w="2115"/>
          </w:tcPr>
          <w:p w14:paraId="67000000">
            <w:pPr>
              <w:spacing w:after="0" w:before="0"/>
              <w:ind w:firstLine="0" w:left="135" w:right="0"/>
              <w:jc w:val="left"/>
              <w:rPr>
                <w:rFonts w:ascii="Times New Roman" w:hAnsi="Times New Roman"/>
                <w:b w:val="0"/>
                <w:i w:val="0"/>
                <w:caps w:val="0"/>
                <w:color w:val="141414"/>
                <w:spacing w:val="0"/>
                <w:sz w:val="24"/>
                <w:highlight w:val="white"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sz w:val="24"/>
                <w:highlight w:val="white"/>
              </w:rPr>
              <w:t>Грабовская О.С. Проблемы преемственности дошкольного и начального общего образования в условиях их стандартизации и вариативности // Новые импульсы развития: вопросы научных исследований. - 2020. - №5. – С. 148-154.</w:t>
            </w:r>
          </w:p>
        </w:tc>
        <w:tc>
          <w:tcPr>
            <w:tcW w:type="dxa" w:w="39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8000000">
            <w:pPr>
              <w:spacing w:after="0" w:before="0" w:line="240" w:lineRule="auto"/>
              <w:ind w:firstLine="0" w:left="135" w:right="0"/>
              <w:jc w:val="left"/>
              <w:rPr>
                <w:rFonts w:ascii="Times New Roman" w:hAnsi="Times New Roman"/>
                <w:b w:val="0"/>
                <w:i w:val="0"/>
                <w:caps w:val="0"/>
                <w:color w:val="141414"/>
                <w:spacing w:val="0"/>
                <w:sz w:val="24"/>
                <w:highlight w:val="white"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sz w:val="24"/>
                <w:highlight w:val="white"/>
              </w:rPr>
              <w:t>Грабовская О.С. Проблемы преемственности дошкольного и начального общего образования в условиях их стандартизации и вариативности // Новые импульсы развития: вопросы научных исследований. - 2020. - №5. – С. 148-154.</w:t>
            </w:r>
          </w:p>
        </w:tc>
      </w:tr>
      <w:tr>
        <w:trPr>
          <w:trHeight w:hRule="atLeast" w:val="3057"/>
        </w:trPr>
        <w:tc>
          <w:tcPr>
            <w:tcW w:type="dxa" w:w="865"/>
            <w:textDirection w:val="btLr"/>
          </w:tcPr>
          <w:p w14:paraId="69000000">
            <w:pPr>
              <w:ind w:firstLine="0" w:left="113" w:right="113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Март</w:t>
            </w:r>
          </w:p>
        </w:tc>
        <w:tc>
          <w:tcPr>
            <w:tcW w:type="dxa" w:w="2284"/>
          </w:tcPr>
          <w:p w14:paraId="6A000000">
            <w:pPr>
              <w:spacing w:line="294" w:lineRule="atLeast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Подбор литературы по теме.</w:t>
            </w:r>
          </w:p>
          <w:p w14:paraId="6B000000">
            <w:pPr>
              <w:spacing w:line="294" w:lineRule="atLeast"/>
              <w:ind/>
              <w:rPr>
                <w:rFonts w:ascii="Arial" w:hAnsi="Arial"/>
                <w:color w:val="000000"/>
                <w:sz w:val="24"/>
              </w:rPr>
            </w:pPr>
          </w:p>
        </w:tc>
        <w:tc>
          <w:tcPr>
            <w:tcW w:type="dxa" w:w="2115"/>
          </w:tcPr>
          <w:p w14:paraId="6C000000">
            <w:pPr>
              <w:spacing w:after="0" w:before="0"/>
              <w:ind w:firstLine="0" w:left="135" w:right="0"/>
              <w:jc w:val="left"/>
              <w:rPr>
                <w:rFonts w:ascii="Times New Roman" w:hAnsi="Times New Roman"/>
                <w:b w:val="0"/>
                <w:i w:val="0"/>
                <w:caps w:val="0"/>
                <w:color w:val="141414"/>
                <w:spacing w:val="0"/>
                <w:sz w:val="24"/>
                <w:highlight w:val="white"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sz w:val="24"/>
                <w:highlight w:val="white"/>
              </w:rPr>
              <w:t>Калинченко А. В. Проблемы преемственности дошкольного и начального образования //Дошкольное образование-развивающее и развивающееся. 2016. N. 3. С. 74-76.</w:t>
            </w:r>
          </w:p>
        </w:tc>
        <w:tc>
          <w:tcPr>
            <w:tcW w:type="dxa" w:w="39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D000000">
            <w:pPr>
              <w:spacing w:after="0" w:before="0" w:line="240" w:lineRule="auto"/>
              <w:ind w:firstLine="0" w:left="135" w:right="0"/>
              <w:jc w:val="left"/>
              <w:rPr>
                <w:rFonts w:ascii="Times New Roman" w:hAnsi="Times New Roman"/>
                <w:b w:val="0"/>
                <w:i w:val="0"/>
                <w:caps w:val="0"/>
                <w:color w:val="141414"/>
                <w:spacing w:val="0"/>
                <w:sz w:val="24"/>
                <w:highlight w:val="white"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sz w:val="24"/>
                <w:highlight w:val="white"/>
              </w:rPr>
              <w:t>Калинченко А. В. Проблемы преемственности дошкольного и начального образования //Дошкольное образование-развивающее и развивающееся. 2016. N. 3. С. 74-76.</w:t>
            </w:r>
          </w:p>
        </w:tc>
      </w:tr>
      <w:tr>
        <w:trPr>
          <w:trHeight w:hRule="atLeast" w:val="1134"/>
        </w:trPr>
        <w:tc>
          <w:tcPr>
            <w:tcW w:type="dxa" w:w="865"/>
            <w:textDirection w:val="btLr"/>
          </w:tcPr>
          <w:p w14:paraId="6E000000">
            <w:pPr>
              <w:ind w:firstLine="0" w:left="113" w:right="113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Апрель</w:t>
            </w:r>
          </w:p>
        </w:tc>
        <w:tc>
          <w:tcPr>
            <w:tcW w:type="dxa" w:w="2284"/>
          </w:tcPr>
          <w:p w14:paraId="6F000000">
            <w:pPr>
              <w:spacing w:line="294" w:lineRule="atLeast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Сбор информации для создания картотеки дидактических игр по теме самообразования </w:t>
            </w:r>
          </w:p>
          <w:p w14:paraId="70000000">
            <w:pPr>
              <w:spacing w:line="294" w:lineRule="atLeast"/>
              <w:ind/>
              <w:rPr>
                <w:rFonts w:ascii="Times New Roman" w:hAnsi="Times New Roman"/>
                <w:color w:val="000000"/>
                <w:sz w:val="24"/>
              </w:rPr>
            </w:pPr>
          </w:p>
          <w:p w14:paraId="71000000">
            <w:pPr>
              <w:spacing w:line="294" w:lineRule="atLeast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Создание условий для стимулирования активности и развитию совместных действий детей в коллективе.</w:t>
            </w:r>
          </w:p>
        </w:tc>
        <w:tc>
          <w:tcPr>
            <w:tcW w:type="dxa" w:w="2115"/>
          </w:tcPr>
          <w:p w14:paraId="72000000">
            <w:pPr>
              <w:spacing w:line="294" w:lineRule="atLeast"/>
              <w:ind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Составила картотеку</w:t>
            </w:r>
          </w:p>
          <w:p w14:paraId="73000000">
            <w:pPr>
              <w:spacing w:line="294" w:lineRule="atLeast"/>
              <w:ind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«</w:t>
            </w:r>
            <w:r>
              <w:rPr>
                <w:rFonts w:ascii="Times New Roman" w:hAnsi="Times New Roman"/>
                <w:color w:val="000000"/>
                <w:sz w:val="24"/>
              </w:rPr>
              <w:t>Преемственность дошкольного и начального общего образования посредством дистанционного обучения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  <w:p w14:paraId="74000000">
            <w:pPr>
              <w:spacing w:line="294" w:lineRule="atLeast"/>
              <w:ind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type="dxa" w:w="3900"/>
          </w:tcPr>
          <w:p w14:paraId="75000000">
            <w:pPr>
              <w:spacing w:line="294" w:lineRule="atLeast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>
        <w:trPr>
          <w:trHeight w:hRule="atLeast" w:val="1134"/>
        </w:trPr>
        <w:tc>
          <w:tcPr>
            <w:tcW w:type="dxa" w:w="865"/>
            <w:textDirection w:val="btLr"/>
          </w:tcPr>
          <w:p w14:paraId="76000000">
            <w:pPr>
              <w:ind w:firstLine="0" w:left="113" w:right="113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Май</w:t>
            </w:r>
          </w:p>
        </w:tc>
        <w:tc>
          <w:tcPr>
            <w:tcW w:type="dxa" w:w="2284"/>
          </w:tcPr>
          <w:p w14:paraId="77000000">
            <w:pPr>
              <w:spacing w:line="294" w:lineRule="atLeast"/>
              <w:ind/>
              <w:rPr>
                <w:rFonts w:ascii="Arial" w:hAnsi="Arial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</w:t>
            </w:r>
            <w:r>
              <w:rPr>
                <w:rFonts w:ascii="Times New Roman" w:hAnsi="Times New Roman"/>
                <w:color w:val="000000"/>
                <w:sz w:val="24"/>
              </w:rPr>
              <w:t>оздание условий для стимулирования активности и развитию совместных действий детей в коллективе.</w:t>
            </w:r>
          </w:p>
        </w:tc>
        <w:tc>
          <w:tcPr>
            <w:tcW w:type="dxa" w:w="2115"/>
          </w:tcPr>
          <w:p w14:paraId="78000000">
            <w:pPr>
              <w:spacing w:line="294" w:lineRule="atLeast"/>
              <w:ind/>
              <w:rPr>
                <w:rFonts w:ascii="Times New Roman" w:hAnsi="Times New Roman"/>
                <w:color w:val="000000"/>
                <w:sz w:val="24"/>
              </w:rPr>
            </w:pPr>
          </w:p>
          <w:p w14:paraId="79000000">
            <w:pPr>
              <w:spacing w:line="294" w:lineRule="atLeast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Игра  «</w:t>
            </w:r>
            <w:r>
              <w:rPr>
                <w:rFonts w:ascii="Times New Roman" w:hAnsi="Times New Roman"/>
                <w:color w:val="000000"/>
                <w:sz w:val="24"/>
              </w:rPr>
              <w:t>Я начну, а вы продолжите».</w:t>
            </w:r>
          </w:p>
          <w:p w14:paraId="7A000000">
            <w:pPr>
              <w:spacing w:line="294" w:lineRule="atLeast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Рисование на шариках лица друга.</w:t>
            </w:r>
          </w:p>
        </w:tc>
        <w:tc>
          <w:tcPr>
            <w:tcW w:type="dxa" w:w="3900"/>
          </w:tcPr>
          <w:p w14:paraId="7B000000">
            <w:pPr>
              <w:spacing w:line="294" w:lineRule="atLeast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</w:tbl>
    <w:p w14:paraId="7C000000">
      <w:pPr>
        <w:spacing w:after="0" w:line="294" w:lineRule="atLeast"/>
        <w:ind/>
        <w:jc w:val="center"/>
        <w:rPr>
          <w:rFonts w:ascii="Times New Roman" w:hAnsi="Times New Roman"/>
          <w:b w:val="1"/>
          <w:color w:val="000000"/>
          <w:sz w:val="27"/>
        </w:rPr>
      </w:pPr>
      <w:r>
        <w:rPr>
          <w:rFonts w:ascii="Arial" w:hAnsi="Arial"/>
          <w:color w:val="000000"/>
          <w:sz w:val="40"/>
        </w:rPr>
        <w:br/>
      </w:r>
    </w:p>
    <w:p w14:paraId="7D000000">
      <w:pPr>
        <w:spacing w:after="0" w:line="294" w:lineRule="atLeast"/>
        <w:ind/>
        <w:jc w:val="center"/>
        <w:rPr>
          <w:rFonts w:ascii="Times New Roman" w:hAnsi="Times New Roman"/>
          <w:b w:val="1"/>
          <w:color w:val="000000"/>
          <w:sz w:val="27"/>
        </w:rPr>
      </w:pPr>
    </w:p>
    <w:p w14:paraId="7E000000">
      <w:pPr>
        <w:spacing w:after="0" w:line="294" w:lineRule="atLeast"/>
        <w:ind/>
        <w:jc w:val="center"/>
        <w:rPr>
          <w:rFonts w:ascii="Arial" w:hAnsi="Arial"/>
          <w:color w:val="000000"/>
          <w:sz w:val="40"/>
        </w:rPr>
      </w:pPr>
      <w:r>
        <w:rPr>
          <w:rFonts w:ascii="Times New Roman" w:hAnsi="Times New Roman"/>
          <w:color w:val="000000"/>
          <w:sz w:val="40"/>
        </w:rPr>
        <w:t>Работа с семьёй</w:t>
      </w:r>
    </w:p>
    <w:p w14:paraId="7F000000">
      <w:pPr>
        <w:spacing w:after="0" w:line="294" w:lineRule="atLeast"/>
        <w:ind/>
        <w:jc w:val="center"/>
        <w:rPr>
          <w:rFonts w:ascii="Arial" w:hAnsi="Arial"/>
          <w:color w:val="000000"/>
          <w:sz w:val="21"/>
        </w:rPr>
      </w:pPr>
      <w:r>
        <w:rPr>
          <w:rFonts w:ascii="Times New Roman" w:hAnsi="Times New Roman"/>
          <w:color w:val="000000"/>
          <w:sz w:val="27"/>
        </w:rPr>
        <w:t>Октябрь</w:t>
      </w:r>
    </w:p>
    <w:p w14:paraId="80000000">
      <w:pPr>
        <w:spacing w:after="0" w:line="294" w:lineRule="atLeast"/>
        <w:ind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7"/>
        </w:rPr>
        <w:t xml:space="preserve">Консультации для родителей </w:t>
      </w:r>
      <w:r>
        <w:rPr>
          <w:rFonts w:ascii="Times New Roman" w:hAnsi="Times New Roman"/>
          <w:color w:val="000000"/>
          <w:sz w:val="27"/>
        </w:rPr>
        <w:t>«</w:t>
      </w:r>
      <w:r>
        <w:rPr>
          <w:rFonts w:ascii="Times New Roman" w:hAnsi="Times New Roman"/>
          <w:color w:val="000000"/>
          <w:sz w:val="27"/>
        </w:rPr>
        <w:t>Преемственность дошкольного и начального общего образования посредством дистанционного обучения</w:t>
      </w:r>
      <w:r>
        <w:rPr>
          <w:rFonts w:ascii="Times New Roman" w:hAnsi="Times New Roman"/>
          <w:color w:val="000000"/>
          <w:sz w:val="27"/>
        </w:rPr>
        <w:t>.»</w:t>
      </w:r>
    </w:p>
    <w:p w14:paraId="81000000">
      <w:pPr>
        <w:spacing w:after="0" w:line="294" w:lineRule="atLeast"/>
        <w:ind/>
        <w:jc w:val="center"/>
        <w:rPr>
          <w:rFonts w:ascii="Arial" w:hAnsi="Arial"/>
          <w:color w:val="000000"/>
          <w:sz w:val="21"/>
        </w:rPr>
      </w:pPr>
      <w:r>
        <w:rPr>
          <w:rFonts w:ascii="Times New Roman" w:hAnsi="Times New Roman"/>
          <w:color w:val="000000"/>
          <w:sz w:val="27"/>
        </w:rPr>
        <w:t>Декабрь</w:t>
      </w:r>
    </w:p>
    <w:p w14:paraId="82000000">
      <w:pPr>
        <w:spacing w:after="0" w:line="294" w:lineRule="atLeast"/>
        <w:ind/>
        <w:rPr>
          <w:rFonts w:ascii="Arial" w:hAnsi="Arial"/>
          <w:color w:val="000000"/>
          <w:sz w:val="21"/>
        </w:rPr>
      </w:pPr>
      <w:r>
        <w:rPr>
          <w:rFonts w:ascii="Times New Roman" w:hAnsi="Times New Roman"/>
          <w:color w:val="000000"/>
          <w:sz w:val="27"/>
        </w:rPr>
        <w:t>Тест родителей на тему «Хороший ли друг ваш ребенок».</w:t>
      </w:r>
    </w:p>
    <w:p w14:paraId="83000000">
      <w:pPr>
        <w:spacing w:after="0" w:line="294" w:lineRule="atLeast"/>
        <w:ind/>
        <w:jc w:val="center"/>
        <w:rPr>
          <w:rFonts w:ascii="Arial" w:hAnsi="Arial"/>
          <w:color w:val="000000"/>
          <w:sz w:val="21"/>
        </w:rPr>
      </w:pPr>
      <w:r>
        <w:rPr>
          <w:rFonts w:ascii="Times New Roman" w:hAnsi="Times New Roman"/>
          <w:color w:val="000000"/>
          <w:sz w:val="27"/>
        </w:rPr>
        <w:t>Апрель</w:t>
      </w:r>
    </w:p>
    <w:p w14:paraId="84000000">
      <w:pPr>
        <w:spacing w:after="0" w:line="294" w:lineRule="atLeast"/>
        <w:ind/>
        <w:rPr>
          <w:rFonts w:ascii="Times New Roman" w:hAnsi="Times New Roman"/>
          <w:color w:val="000000"/>
          <w:sz w:val="27"/>
        </w:rPr>
      </w:pPr>
      <w:r>
        <w:rPr>
          <w:rFonts w:ascii="Times New Roman" w:hAnsi="Times New Roman"/>
          <w:color w:val="000000"/>
          <w:sz w:val="27"/>
        </w:rPr>
        <w:t xml:space="preserve">Оформление </w:t>
      </w:r>
      <w:r>
        <w:rPr>
          <w:rFonts w:ascii="Times New Roman" w:hAnsi="Times New Roman"/>
          <w:color w:val="000000"/>
          <w:sz w:val="27"/>
        </w:rPr>
        <w:t xml:space="preserve">картотеки </w:t>
      </w:r>
      <w:r>
        <w:rPr>
          <w:rFonts w:ascii="Times New Roman" w:hAnsi="Times New Roman"/>
          <w:color w:val="000000"/>
          <w:sz w:val="27"/>
        </w:rPr>
        <w:t>«</w:t>
      </w:r>
      <w:r>
        <w:rPr>
          <w:rFonts w:ascii="Times New Roman" w:hAnsi="Times New Roman"/>
          <w:color w:val="000000"/>
          <w:sz w:val="27"/>
        </w:rPr>
        <w:t>Преемственность дошкольного и начального общего образования посредством дистанционного обучения</w:t>
      </w:r>
      <w:r>
        <w:rPr>
          <w:rFonts w:ascii="Times New Roman" w:hAnsi="Times New Roman"/>
          <w:color w:val="000000"/>
          <w:sz w:val="27"/>
        </w:rPr>
        <w:t>.</w:t>
      </w:r>
      <w:r>
        <w:rPr>
          <w:rFonts w:ascii="Times New Roman" w:hAnsi="Times New Roman"/>
          <w:color w:val="000000"/>
          <w:sz w:val="27"/>
        </w:rPr>
        <w:t>»</w:t>
      </w:r>
    </w:p>
    <w:p w14:paraId="85000000">
      <w:pPr>
        <w:spacing w:after="0" w:line="294" w:lineRule="atLeast"/>
        <w:ind/>
        <w:jc w:val="left"/>
        <w:rPr>
          <w:rFonts w:ascii="Times New Roman" w:hAnsi="Times New Roman"/>
          <w:color w:val="000000"/>
          <w:sz w:val="27"/>
        </w:rPr>
      </w:pPr>
      <w:r>
        <w:rPr>
          <w:rFonts w:ascii="Times New Roman" w:hAnsi="Times New Roman"/>
          <w:color w:val="000000"/>
          <w:sz w:val="27"/>
        </w:rPr>
        <w:t xml:space="preserve"> </w:t>
      </w:r>
    </w:p>
    <w:p w14:paraId="86000000">
      <w:pPr>
        <w:spacing w:after="0" w:line="294" w:lineRule="atLeast"/>
        <w:ind/>
        <w:jc w:val="center"/>
        <w:rPr>
          <w:rFonts w:ascii="Arial" w:hAnsi="Arial"/>
          <w:color w:val="000000"/>
          <w:sz w:val="21"/>
        </w:rPr>
      </w:pPr>
    </w:p>
    <w:p w14:paraId="87000000">
      <w:pPr>
        <w:spacing w:after="0" w:line="294" w:lineRule="atLeast"/>
        <w:ind/>
        <w:jc w:val="center"/>
        <w:rPr>
          <w:rFonts w:ascii="Arial" w:hAnsi="Arial"/>
          <w:color w:val="000000"/>
          <w:sz w:val="21"/>
        </w:rPr>
      </w:pPr>
      <w:r>
        <w:rPr>
          <w:rFonts w:ascii="Times New Roman" w:hAnsi="Times New Roman"/>
          <w:b w:val="1"/>
          <w:color w:val="000000"/>
          <w:sz w:val="27"/>
        </w:rPr>
        <w:t>Выход темы:</w:t>
      </w:r>
    </w:p>
    <w:p w14:paraId="88000000">
      <w:pPr>
        <w:numPr>
          <w:ilvl w:val="0"/>
          <w:numId w:val="3"/>
        </w:numPr>
        <w:spacing w:after="0" w:line="294" w:lineRule="atLeast"/>
        <w:ind/>
        <w:rPr>
          <w:rFonts w:ascii="Arial" w:hAnsi="Arial"/>
          <w:color w:val="000000"/>
          <w:sz w:val="21"/>
        </w:rPr>
      </w:pPr>
      <w:r>
        <w:rPr>
          <w:rFonts w:ascii="Times New Roman" w:hAnsi="Times New Roman"/>
          <w:color w:val="000000"/>
          <w:sz w:val="27"/>
        </w:rPr>
        <w:t xml:space="preserve">Консультации для родителей </w:t>
      </w:r>
      <w:r>
        <w:rPr>
          <w:rFonts w:ascii="Times New Roman" w:hAnsi="Times New Roman"/>
          <w:color w:val="000000"/>
          <w:sz w:val="27"/>
        </w:rPr>
        <w:t>«</w:t>
      </w:r>
      <w:r>
        <w:rPr>
          <w:rFonts w:ascii="Times New Roman" w:hAnsi="Times New Roman"/>
          <w:color w:val="000000"/>
          <w:sz w:val="27"/>
        </w:rPr>
        <w:t>Преемственность дошкольного и начального общего образования посредством дистанционного обучения</w:t>
      </w:r>
      <w:r>
        <w:rPr>
          <w:rFonts w:ascii="Times New Roman" w:hAnsi="Times New Roman"/>
          <w:color w:val="000000"/>
          <w:sz w:val="27"/>
        </w:rPr>
        <w:t>.»</w:t>
      </w:r>
    </w:p>
    <w:p w14:paraId="89000000">
      <w:pPr>
        <w:numPr>
          <w:numId w:val="3"/>
        </w:numPr>
        <w:spacing w:after="0" w:line="294" w:lineRule="atLeast"/>
        <w:ind/>
        <w:rPr>
          <w:rFonts w:ascii="Times New Roman" w:hAnsi="Times New Roman"/>
          <w:color w:val="000000"/>
          <w:sz w:val="27"/>
        </w:rPr>
      </w:pPr>
      <w:r>
        <w:rPr>
          <w:rFonts w:ascii="Times New Roman" w:hAnsi="Times New Roman"/>
          <w:color w:val="000000"/>
          <w:sz w:val="27"/>
        </w:rPr>
        <w:t xml:space="preserve">Оформление </w:t>
      </w:r>
      <w:r>
        <w:rPr>
          <w:rFonts w:ascii="Times New Roman" w:hAnsi="Times New Roman"/>
          <w:color w:val="000000"/>
          <w:sz w:val="27"/>
        </w:rPr>
        <w:t xml:space="preserve">картотеки </w:t>
      </w:r>
      <w:r>
        <w:rPr>
          <w:rFonts w:ascii="Times New Roman" w:hAnsi="Times New Roman"/>
          <w:color w:val="000000"/>
          <w:sz w:val="27"/>
        </w:rPr>
        <w:t>«</w:t>
      </w:r>
      <w:r>
        <w:rPr>
          <w:rFonts w:ascii="Times New Roman" w:hAnsi="Times New Roman"/>
          <w:color w:val="000000"/>
          <w:sz w:val="27"/>
        </w:rPr>
        <w:t>Преемственность дошкольного и начального общего образования посредством дистанционного обучения</w:t>
      </w:r>
      <w:r>
        <w:rPr>
          <w:rFonts w:ascii="Times New Roman" w:hAnsi="Times New Roman"/>
          <w:color w:val="000000"/>
          <w:sz w:val="27"/>
        </w:rPr>
        <w:t>.</w:t>
      </w:r>
      <w:r>
        <w:rPr>
          <w:rFonts w:ascii="Times New Roman" w:hAnsi="Times New Roman"/>
          <w:color w:val="000000"/>
          <w:sz w:val="27"/>
        </w:rPr>
        <w:t>»</w:t>
      </w:r>
    </w:p>
    <w:p w14:paraId="8A000000">
      <w:pPr>
        <w:spacing w:after="0" w:line="294" w:lineRule="atLeast"/>
        <w:ind/>
        <w:rPr>
          <w:rFonts w:ascii="Times New Roman" w:hAnsi="Times New Roman"/>
        </w:rPr>
      </w:pPr>
    </w:p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bullet"/>
      <w:lvlText w:val=""/>
      <w:lvlJc w:val="left"/>
      <w:pPr>
        <w:tabs>
          <w:tab w:leader="none" w:pos="720" w:val="left"/>
        </w:tabs>
        <w:ind w:hanging="360" w:left="72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leader="none" w:pos="1440" w:val="left"/>
        </w:tabs>
        <w:ind w:hanging="360" w:left="144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leader="none" w:pos="2160" w:val="left"/>
        </w:tabs>
        <w:ind w:hanging="360" w:left="21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leader="none" w:pos="2880" w:val="left"/>
        </w:tabs>
        <w:ind w:hanging="360" w:left="288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leader="none" w:pos="3600" w:val="left"/>
        </w:tabs>
        <w:ind w:hanging="360" w:left="360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leader="none" w:pos="4320" w:val="left"/>
        </w:tabs>
        <w:ind w:hanging="360" w:left="432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leader="none" w:pos="5040" w:val="left"/>
        </w:tabs>
        <w:ind w:hanging="360" w:left="504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leader="none" w:pos="5760" w:val="left"/>
        </w:tabs>
        <w:ind w:hanging="360" w:left="57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leader="none" w:pos="6480" w:val="left"/>
        </w:tabs>
        <w:ind w:hanging="360" w:left="6480"/>
      </w:pPr>
      <w:rPr>
        <w:rFonts w:ascii="Wingdings" w:hAnsi="Wingdings"/>
        <w:sz w:val="20"/>
      </w:rPr>
    </w:lvl>
  </w:abstractNum>
  <w:abstractNum w:abstractNumId="1">
    <w:lvl w:ilvl="0">
      <w:start w:val="1"/>
      <w:numFmt w:val="bullet"/>
      <w:lvlText w:val=""/>
      <w:lvlJc w:val="left"/>
      <w:pPr>
        <w:tabs>
          <w:tab w:leader="none" w:pos="720" w:val="left"/>
        </w:tabs>
        <w:ind w:hanging="360" w:left="72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leader="none" w:pos="1440" w:val="left"/>
        </w:tabs>
        <w:ind w:hanging="360" w:left="144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leader="none" w:pos="2160" w:val="left"/>
        </w:tabs>
        <w:ind w:hanging="360" w:left="21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leader="none" w:pos="2880" w:val="left"/>
        </w:tabs>
        <w:ind w:hanging="360" w:left="288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leader="none" w:pos="3600" w:val="left"/>
        </w:tabs>
        <w:ind w:hanging="360" w:left="360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leader="none" w:pos="4320" w:val="left"/>
        </w:tabs>
        <w:ind w:hanging="360" w:left="432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leader="none" w:pos="5040" w:val="left"/>
        </w:tabs>
        <w:ind w:hanging="360" w:left="504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leader="none" w:pos="5760" w:val="left"/>
        </w:tabs>
        <w:ind w:hanging="360" w:left="57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leader="none" w:pos="6480" w:val="left"/>
        </w:tabs>
        <w:ind w:hanging="360" w:left="6480"/>
      </w:pPr>
      <w:rPr>
        <w:rFonts w:ascii="Wingdings" w:hAnsi="Wingdings"/>
        <w:sz w:val="20"/>
      </w:rPr>
    </w:lvl>
  </w:abstractNum>
  <w:abstractNum w:abstractNumId="2">
    <w:lvl w:ilvl="0">
      <w:start w:val="1"/>
      <w:numFmt w:val="bullet"/>
      <w:lvlText w:val=""/>
      <w:lvlJc w:val="left"/>
      <w:pPr>
        <w:tabs>
          <w:tab w:leader="none" w:pos="720" w:val="left"/>
        </w:tabs>
        <w:ind w:hanging="360" w:left="72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leader="none" w:pos="1440" w:val="left"/>
        </w:tabs>
        <w:ind w:hanging="360" w:left="144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leader="none" w:pos="2160" w:val="left"/>
        </w:tabs>
        <w:ind w:hanging="360" w:left="21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leader="none" w:pos="2880" w:val="left"/>
        </w:tabs>
        <w:ind w:hanging="360" w:left="288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leader="none" w:pos="3600" w:val="left"/>
        </w:tabs>
        <w:ind w:hanging="360" w:left="360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leader="none" w:pos="4320" w:val="left"/>
        </w:tabs>
        <w:ind w:hanging="360" w:left="432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leader="none" w:pos="5040" w:val="left"/>
        </w:tabs>
        <w:ind w:hanging="360" w:left="504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leader="none" w:pos="5760" w:val="left"/>
        </w:tabs>
        <w:ind w:hanging="360" w:left="57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leader="none" w:pos="6480" w:val="left"/>
        </w:tabs>
        <w:ind w:hanging="360" w:left="6480"/>
      </w:pPr>
      <w:rPr>
        <w:rFonts w:ascii="Wingdings" w:hAnsi="Wingdings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160" w:before="0" w:line="264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</w:style>
  <w:style w:default="1" w:styleId="Style_2_ch" w:type="character">
    <w:name w:val="Normal"/>
    <w:link w:val="Style_2"/>
  </w:style>
  <w:style w:styleId="Style_3" w:type="paragraph">
    <w:name w:val="toc 2"/>
    <w:next w:val="Style_2"/>
    <w:link w:val="Style_3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toc 4"/>
    <w:next w:val="Style_2"/>
    <w:link w:val="Style_4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toc 6"/>
    <w:next w:val="Style_2"/>
    <w:link w:val="Style_5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2"/>
    <w:link w:val="Style_6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Default Paragraph Font"/>
    <w:link w:val="Style_7_ch"/>
  </w:style>
  <w:style w:styleId="Style_7_ch" w:type="character">
    <w:name w:val="Default Paragraph Font"/>
    <w:link w:val="Style_7"/>
  </w:style>
  <w:style w:styleId="Style_8" w:type="paragraph">
    <w:name w:val="heading 3"/>
    <w:next w:val="Style_2"/>
    <w:link w:val="Style_8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8_ch" w:type="character">
    <w:name w:val="heading 3"/>
    <w:link w:val="Style_8"/>
    <w:rPr>
      <w:rFonts w:ascii="XO Thames" w:hAnsi="XO Thames"/>
      <w:b w:val="1"/>
      <w:sz w:val="26"/>
    </w:rPr>
  </w:style>
  <w:style w:styleId="Style_9" w:type="paragraph">
    <w:name w:val="toc 3"/>
    <w:next w:val="Style_2"/>
    <w:link w:val="Style_9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9_ch" w:type="character">
    <w:name w:val="toc 3"/>
    <w:link w:val="Style_9"/>
    <w:rPr>
      <w:rFonts w:ascii="XO Thames" w:hAnsi="XO Thames"/>
      <w:sz w:val="28"/>
    </w:rPr>
  </w:style>
  <w:style w:styleId="Style_10" w:type="paragraph">
    <w:name w:val="heading 5"/>
    <w:next w:val="Style_2"/>
    <w:link w:val="Style_10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0_ch" w:type="character">
    <w:name w:val="heading 5"/>
    <w:link w:val="Style_10"/>
    <w:rPr>
      <w:rFonts w:ascii="XO Thames" w:hAnsi="XO Thames"/>
      <w:b w:val="1"/>
      <w:sz w:val="22"/>
    </w:rPr>
  </w:style>
  <w:style w:styleId="Style_11" w:type="paragraph">
    <w:name w:val="heading 1"/>
    <w:next w:val="Style_2"/>
    <w:link w:val="Style_11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1_ch" w:type="character">
    <w:name w:val="heading 1"/>
    <w:link w:val="Style_11"/>
    <w:rPr>
      <w:rFonts w:ascii="XO Thames" w:hAnsi="XO Thames"/>
      <w:b w:val="1"/>
      <w:sz w:val="32"/>
    </w:rPr>
  </w:style>
  <w:style w:styleId="Style_12" w:type="paragraph">
    <w:name w:val="Hyperlink"/>
    <w:link w:val="Style_12_ch"/>
    <w:rPr>
      <w:color w:val="0000FF"/>
      <w:u w:val="single"/>
    </w:rPr>
  </w:style>
  <w:style w:styleId="Style_12_ch" w:type="character">
    <w:name w:val="Hyperlink"/>
    <w:link w:val="Style_12"/>
    <w:rPr>
      <w:color w:val="0000FF"/>
      <w:u w:val="single"/>
    </w:rPr>
  </w:style>
  <w:style w:styleId="Style_13" w:type="paragraph">
    <w:name w:val="Footnote"/>
    <w:link w:val="Style_13_ch"/>
    <w:pPr>
      <w:ind w:firstLine="851" w:left="0"/>
      <w:jc w:val="both"/>
    </w:pPr>
    <w:rPr>
      <w:rFonts w:ascii="XO Thames" w:hAnsi="XO Thames"/>
      <w:sz w:val="22"/>
    </w:rPr>
  </w:style>
  <w:style w:styleId="Style_13_ch" w:type="character">
    <w:name w:val="Footnote"/>
    <w:link w:val="Style_13"/>
    <w:rPr>
      <w:rFonts w:ascii="XO Thames" w:hAnsi="XO Thames"/>
      <w:sz w:val="22"/>
    </w:rPr>
  </w:style>
  <w:style w:styleId="Style_14" w:type="paragraph">
    <w:name w:val="toc 1"/>
    <w:next w:val="Style_2"/>
    <w:link w:val="Style_14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4_ch" w:type="character">
    <w:name w:val="toc 1"/>
    <w:link w:val="Style_14"/>
    <w:rPr>
      <w:rFonts w:ascii="XO Thames" w:hAnsi="XO Thames"/>
      <w:b w:val="1"/>
      <w:sz w:val="28"/>
    </w:rPr>
  </w:style>
  <w:style w:styleId="Style_15" w:type="paragraph">
    <w:name w:val="Header and Footer"/>
    <w:link w:val="Style_15_ch"/>
    <w:pPr>
      <w:spacing w:line="240" w:lineRule="auto"/>
      <w:ind/>
      <w:jc w:val="both"/>
    </w:pPr>
    <w:rPr>
      <w:rFonts w:ascii="XO Thames" w:hAnsi="XO Thames"/>
      <w:sz w:val="20"/>
    </w:rPr>
  </w:style>
  <w:style w:styleId="Style_15_ch" w:type="character">
    <w:name w:val="Header and Footer"/>
    <w:link w:val="Style_15"/>
    <w:rPr>
      <w:rFonts w:ascii="XO Thames" w:hAnsi="XO Thames"/>
      <w:sz w:val="20"/>
    </w:rPr>
  </w:style>
  <w:style w:styleId="Style_16" w:type="paragraph">
    <w:name w:val="toc 9"/>
    <w:next w:val="Style_2"/>
    <w:link w:val="Style_16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6_ch" w:type="character">
    <w:name w:val="toc 9"/>
    <w:link w:val="Style_16"/>
    <w:rPr>
      <w:rFonts w:ascii="XO Thames" w:hAnsi="XO Thames"/>
      <w:sz w:val="28"/>
    </w:rPr>
  </w:style>
  <w:style w:styleId="Style_17" w:type="paragraph">
    <w:name w:val="toc 8"/>
    <w:next w:val="Style_2"/>
    <w:link w:val="Style_17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7_ch" w:type="character">
    <w:name w:val="toc 8"/>
    <w:link w:val="Style_17"/>
    <w:rPr>
      <w:rFonts w:ascii="XO Thames" w:hAnsi="XO Thames"/>
      <w:sz w:val="28"/>
    </w:rPr>
  </w:style>
  <w:style w:styleId="Style_18" w:type="paragraph">
    <w:name w:val="toc 5"/>
    <w:next w:val="Style_2"/>
    <w:link w:val="Style_18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8_ch" w:type="character">
    <w:name w:val="toc 5"/>
    <w:link w:val="Style_18"/>
    <w:rPr>
      <w:rFonts w:ascii="XO Thames" w:hAnsi="XO Thames"/>
      <w:sz w:val="28"/>
    </w:rPr>
  </w:style>
  <w:style w:styleId="Style_19" w:type="paragraph">
    <w:name w:val="Subtitle"/>
    <w:next w:val="Style_2"/>
    <w:link w:val="Style_19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9_ch" w:type="character">
    <w:name w:val="Subtitle"/>
    <w:link w:val="Style_19"/>
    <w:rPr>
      <w:rFonts w:ascii="XO Thames" w:hAnsi="XO Thames"/>
      <w:i w:val="1"/>
      <w:sz w:val="24"/>
    </w:rPr>
  </w:style>
  <w:style w:styleId="Style_20" w:type="paragraph">
    <w:name w:val="Title"/>
    <w:next w:val="Style_2"/>
    <w:link w:val="Style_20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0_ch" w:type="character">
    <w:name w:val="Title"/>
    <w:link w:val="Style_20"/>
    <w:rPr>
      <w:rFonts w:ascii="XO Thames" w:hAnsi="XO Thames"/>
      <w:b w:val="1"/>
      <w:caps w:val="1"/>
      <w:sz w:val="40"/>
    </w:rPr>
  </w:style>
  <w:style w:styleId="Style_21" w:type="paragraph">
    <w:name w:val="heading 4"/>
    <w:next w:val="Style_2"/>
    <w:link w:val="Style_21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1_ch" w:type="character">
    <w:name w:val="heading 4"/>
    <w:link w:val="Style_21"/>
    <w:rPr>
      <w:rFonts w:ascii="XO Thames" w:hAnsi="XO Thames"/>
      <w:b w:val="1"/>
      <w:sz w:val="24"/>
    </w:rPr>
  </w:style>
  <w:style w:styleId="Style_22" w:type="paragraph">
    <w:name w:val="heading 2"/>
    <w:next w:val="Style_2"/>
    <w:link w:val="Style_22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2_ch" w:type="character">
    <w:name w:val="heading 2"/>
    <w:link w:val="Style_22"/>
    <w:rPr>
      <w:rFonts w:ascii="XO Thames" w:hAnsi="XO Thames"/>
      <w:b w:val="1"/>
      <w:sz w:val="28"/>
    </w:rPr>
  </w:style>
  <w:style w:default="1" w:styleId="Style_2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1" w:type="table">
    <w:name w:val="Table Grid"/>
    <w:basedOn w:val="Style_23"/>
    <w:pPr>
      <w:spacing w:after="0" w:line="240" w:lineRule="auto"/>
      <w:ind/>
    </w:p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numbering.xml" Type="http://schemas.openxmlformats.org/officeDocument/2006/relationships/numbering"/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MyOffice-CoreFramework-Windows/29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2024-12-17T05:40:37Z</dcterms:modified>
</cp:coreProperties>
</file>