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4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5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МУНИЦИПАЛЬНОЕ БЮДЖЕТНОЕ ДОШКОЛЬНОЕ ОБРАЗОВАТЕЛЬНОЕ УЧРЕЖДЕНИЕ №18 «МИШУТКА»</w:t>
      </w:r>
    </w:p>
    <w:p w14:paraId="06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7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8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9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A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B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C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D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E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0F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10000000">
      <w:pPr>
        <w:spacing w:after="0"/>
        <w:ind/>
        <w:jc w:val="center"/>
        <w:rPr>
          <w:rFonts w:ascii="Times New Roman" w:hAnsi="Times New Roman"/>
          <w:b w:val="1"/>
          <w:color w:val="FF0000"/>
          <w:sz w:val="28"/>
        </w:rPr>
      </w:pPr>
    </w:p>
    <w:p w14:paraId="11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ЛЕКЦИЯ ДЛЯ ПЕДАГОГОВ</w:t>
      </w:r>
    </w:p>
    <w:p w14:paraId="12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«ПРИНЦИПЫ ОРГАНИЗАЦИИ СЮЖЕТНОЙ ИГРЫ В ДОУ»</w:t>
      </w:r>
    </w:p>
    <w:p w14:paraId="13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(</w:t>
      </w:r>
      <w:bookmarkStart w:id="1" w:name="_GoBack"/>
      <w:r>
        <w:rPr>
          <w:rFonts w:ascii="Times New Roman" w:hAnsi="Times New Roman"/>
          <w:b w:val="1"/>
          <w:color w:themeColor="text1" w:val="000000"/>
          <w:sz w:val="28"/>
        </w:rPr>
        <w:t>КОНЦЕПЦИЯ Н. Я. МИХАЙЛЕНКО — Н. А. КОРОТКОВОЙ)</w:t>
      </w:r>
    </w:p>
    <w:p w14:paraId="14000000">
      <w:pPr>
        <w:spacing w:after="0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bookmarkEnd w:id="1"/>
    </w:p>
    <w:p w14:paraId="15000000">
      <w:pPr>
        <w:spacing w:after="0"/>
        <w:ind/>
        <w:jc w:val="center"/>
        <w:rPr>
          <w:rFonts w:ascii="Times New Roman" w:hAnsi="Times New Roman"/>
          <w:b w:val="1"/>
          <w:color w:val="FF0000"/>
          <w:sz w:val="32"/>
        </w:rPr>
      </w:pPr>
    </w:p>
    <w:p w14:paraId="16000000">
      <w:pPr>
        <w:spacing w:after="0"/>
        <w:ind/>
        <w:jc w:val="center"/>
        <w:rPr>
          <w:rFonts w:ascii="Times New Roman" w:hAnsi="Times New Roman"/>
          <w:b w:val="1"/>
          <w:color w:val="FF0000"/>
          <w:sz w:val="32"/>
        </w:rPr>
      </w:pPr>
    </w:p>
    <w:p w14:paraId="17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18000000">
      <w:pPr>
        <w:spacing w:after="0"/>
        <w:ind/>
        <w:jc w:val="right"/>
        <w:rPr>
          <w:rFonts w:ascii="Times New Roman" w:hAnsi="Times New Roman"/>
          <w:color w:themeColor="text1" w:val="000000"/>
          <w:sz w:val="32"/>
        </w:rPr>
      </w:pPr>
    </w:p>
    <w:p w14:paraId="19000000">
      <w:pPr>
        <w:spacing w:after="0"/>
        <w:ind/>
        <w:jc w:val="right"/>
        <w:rPr>
          <w:rFonts w:ascii="Times New Roman" w:hAnsi="Times New Roman"/>
          <w:color w:themeColor="text1" w:val="000000"/>
          <w:sz w:val="32"/>
        </w:rPr>
      </w:pPr>
      <w:r>
        <w:rPr>
          <w:rFonts w:ascii="Times New Roman" w:hAnsi="Times New Roman"/>
          <w:color w:themeColor="text1" w:val="000000"/>
          <w:sz w:val="32"/>
        </w:rPr>
        <w:t>Подготовила:</w:t>
      </w:r>
    </w:p>
    <w:p w14:paraId="1A000000">
      <w:pPr>
        <w:spacing w:after="0"/>
        <w:ind/>
        <w:jc w:val="right"/>
        <w:rPr>
          <w:rFonts w:ascii="Times New Roman" w:hAnsi="Times New Roman"/>
          <w:color w:themeColor="text1" w:val="000000"/>
          <w:sz w:val="32"/>
        </w:rPr>
      </w:pPr>
      <w:r>
        <w:rPr>
          <w:rFonts w:ascii="Times New Roman" w:hAnsi="Times New Roman"/>
          <w:color w:themeColor="text1" w:val="000000"/>
          <w:sz w:val="32"/>
        </w:rPr>
        <w:t>воспитатель: Масленцева И.А.</w:t>
      </w:r>
    </w:p>
    <w:p w14:paraId="1B000000">
      <w:pPr>
        <w:spacing w:after="0"/>
        <w:ind/>
        <w:jc w:val="right"/>
        <w:rPr>
          <w:rFonts w:ascii="Times New Roman" w:hAnsi="Times New Roman"/>
          <w:color w:themeColor="text1" w:val="000000"/>
          <w:sz w:val="32"/>
        </w:rPr>
      </w:pPr>
    </w:p>
    <w:p w14:paraId="1C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1D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1E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1F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20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21000000">
      <w:pPr>
        <w:spacing w:after="0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Город Сургут.</w:t>
      </w:r>
    </w:p>
    <w:p w14:paraId="22000000">
      <w:pPr>
        <w:spacing w:after="0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2023г.</w:t>
      </w:r>
    </w:p>
    <w:p w14:paraId="23000000">
      <w:pPr>
        <w:spacing w:after="0"/>
        <w:ind/>
        <w:jc w:val="center"/>
        <w:rPr>
          <w:rFonts w:ascii="Times New Roman" w:hAnsi="Times New Roman"/>
          <w:color w:themeColor="text1" w:val="000000"/>
          <w:sz w:val="24"/>
        </w:rPr>
      </w:pPr>
    </w:p>
    <w:p w14:paraId="24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25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26000000">
      <w:pPr>
        <w:spacing w:after="0"/>
        <w:ind/>
        <w:jc w:val="center"/>
        <w:rPr>
          <w:rFonts w:ascii="Times New Roman" w:hAnsi="Times New Roman"/>
          <w:color w:val="FF0000"/>
          <w:sz w:val="32"/>
        </w:rPr>
      </w:pPr>
    </w:p>
    <w:p w14:paraId="27000000">
      <w:pPr>
        <w:spacing w:after="0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ЛЕКЦИЯ ДЛЯ ПЕДАГОГОВ</w:t>
      </w:r>
    </w:p>
    <w:p w14:paraId="28000000">
      <w:pPr>
        <w:spacing w:after="0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«ПРИНЦИПЫ ОРГАНИЗАЦИИ СЮЖЕТНОЙ ИГРЫ В ДОУ»</w:t>
      </w:r>
    </w:p>
    <w:p w14:paraId="29000000">
      <w:pPr>
        <w:spacing w:after="0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(КОНЦЕПЦИЯ Н. Я. МИХАЙЛЕНКО — Н. А. КОРОТКОВОЙ)</w:t>
      </w:r>
    </w:p>
    <w:p w14:paraId="2A000000">
      <w:pPr>
        <w:spacing w:after="0"/>
        <w:ind/>
        <w:jc w:val="center"/>
        <w:rPr>
          <w:rFonts w:ascii="Times New Roman" w:hAnsi="Times New Roman"/>
          <w:color w:themeColor="text1" w:val="000000"/>
          <w:sz w:val="32"/>
        </w:rPr>
      </w:pPr>
    </w:p>
    <w:p w14:paraId="2B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Бесспорным является утверждение, что сюжетной игре детей необходимо обучать. Но на занятиях игре обучить нельзя. Как быть? Прежде всего, чтобы дети играли, необходимо: </w:t>
      </w:r>
    </w:p>
    <w:p w14:paraId="2C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— понимать специфику детской игры; </w:t>
      </w:r>
    </w:p>
    <w:p w14:paraId="2D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— иметь пре</w:t>
      </w:r>
      <w:r>
        <w:rPr>
          <w:rFonts w:ascii="Times New Roman" w:hAnsi="Times New Roman"/>
          <w:sz w:val="26"/>
        </w:rPr>
        <w:t>дставление о ее развивающем зна</w:t>
      </w:r>
      <w:r>
        <w:rPr>
          <w:rFonts w:ascii="Times New Roman" w:hAnsi="Times New Roman"/>
          <w:sz w:val="26"/>
        </w:rPr>
        <w:t xml:space="preserve">чении; </w:t>
      </w:r>
    </w:p>
    <w:p w14:paraId="2E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— знать о том, какой она должна быть на каждом возрастном этапе; </w:t>
      </w:r>
    </w:p>
    <w:p w14:paraId="2F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— уметь играть соответствующим образом. </w:t>
      </w:r>
    </w:p>
    <w:p w14:paraId="30000000">
      <w:pPr>
        <w:spacing w:after="0"/>
        <w:ind/>
        <w:jc w:val="both"/>
        <w:rPr>
          <w:sz w:val="26"/>
        </w:rPr>
      </w:pPr>
      <w:r>
        <w:rPr>
          <w:rFonts w:ascii="Times New Roman" w:hAnsi="Times New Roman"/>
          <w:sz w:val="26"/>
        </w:rPr>
        <w:t>Основным критерием оценки уровня игровой деятельности должны выступать игровые умения, т. е. преобладающий у ребенка способ построения игры, а также в зависимости от замысла включение условных действий с предметами, ролевые диалоги, комбинации различных событий. Поэтому цель педагогического воздействия — формирование игровых умений.</w:t>
      </w:r>
      <w:r>
        <w:rPr>
          <w:sz w:val="26"/>
        </w:rPr>
        <w:t xml:space="preserve"> </w:t>
      </w:r>
    </w:p>
    <w:p w14:paraId="31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1,5—3 год</w:t>
      </w:r>
      <w:r>
        <w:rPr>
          <w:rFonts w:ascii="Times New Roman" w:hAnsi="Times New Roman"/>
          <w:sz w:val="26"/>
        </w:rPr>
        <w:t>а ребенок может осуществлять ус</w:t>
      </w:r>
      <w:r>
        <w:rPr>
          <w:rFonts w:ascii="Times New Roman" w:hAnsi="Times New Roman"/>
          <w:sz w:val="26"/>
        </w:rPr>
        <w:t>ловные действ</w:t>
      </w:r>
      <w:r>
        <w:rPr>
          <w:rFonts w:ascii="Times New Roman" w:hAnsi="Times New Roman"/>
          <w:sz w:val="26"/>
        </w:rPr>
        <w:t>ия с предметами и игрушками, вы</w:t>
      </w:r>
      <w:r>
        <w:rPr>
          <w:rFonts w:ascii="Times New Roman" w:hAnsi="Times New Roman"/>
          <w:sz w:val="26"/>
        </w:rPr>
        <w:t>страивая их в простейшую смысловую цепочку, вступая в кратков</w:t>
      </w:r>
      <w:r>
        <w:rPr>
          <w:rFonts w:ascii="Times New Roman" w:hAnsi="Times New Roman"/>
          <w:sz w:val="26"/>
        </w:rPr>
        <w:t>ременное взаимодействие со свер</w:t>
      </w:r>
      <w:r>
        <w:rPr>
          <w:rFonts w:ascii="Times New Roman" w:hAnsi="Times New Roman"/>
          <w:sz w:val="26"/>
        </w:rPr>
        <w:t xml:space="preserve">стниками. </w:t>
      </w:r>
    </w:p>
    <w:p w14:paraId="32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3—5 лет ребенок может пр</w:t>
      </w:r>
      <w:r>
        <w:rPr>
          <w:rFonts w:ascii="Times New Roman" w:hAnsi="Times New Roman"/>
          <w:sz w:val="26"/>
        </w:rPr>
        <w:t>инимать и последо</w:t>
      </w:r>
      <w:r>
        <w:rPr>
          <w:rFonts w:ascii="Times New Roman" w:hAnsi="Times New Roman"/>
          <w:sz w:val="26"/>
        </w:rPr>
        <w:t xml:space="preserve">вательно менять игровые роли, реализовывать их через действия с предметами и ролевую речь, вступая в ролевое взаимодействие с партнером-сверстником. </w:t>
      </w:r>
    </w:p>
    <w:p w14:paraId="33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5—7 лет — развертывать в игре разнообразные последовательности событий, комбинируя их согласно замыслу, реализовывать сюжетные события через ролевое взаимодействие и предметные действия. </w:t>
      </w:r>
    </w:p>
    <w:p w14:paraId="34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Естественным </w:t>
      </w:r>
      <w:r>
        <w:rPr>
          <w:rFonts w:ascii="Times New Roman" w:hAnsi="Times New Roman"/>
          <w:sz w:val="26"/>
        </w:rPr>
        <w:t>образом игра передается в разно</w:t>
      </w:r>
      <w:r>
        <w:rPr>
          <w:rFonts w:ascii="Times New Roman" w:hAnsi="Times New Roman"/>
          <w:sz w:val="26"/>
        </w:rPr>
        <w:t xml:space="preserve">возрастной группе. В ситуации отсутствия более старших детей их место занимает воспитатель. Отсюда: </w:t>
      </w:r>
    </w:p>
    <w:p w14:paraId="35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I принцип организации сюжетной игры в ДОУ.</w:t>
      </w:r>
      <w:r>
        <w:rPr>
          <w:rFonts w:ascii="Times New Roman" w:hAnsi="Times New Roman"/>
          <w:sz w:val="26"/>
        </w:rPr>
        <w:t xml:space="preserve"> Воспитатель должен играть вместе с детьми. Важным является характер поведения взрослого во время игры: он должен занимать позицию «играющего партнера», у которого превосходство заключается лишь в умении интересно играть. Стратегия воспитателя должна заключаться в том, чтобы дети были поставлены перед необходимостью использовать более сложный, новый способ построения игры. Д</w:t>
      </w:r>
      <w:r>
        <w:rPr>
          <w:rFonts w:ascii="Times New Roman" w:hAnsi="Times New Roman"/>
          <w:sz w:val="26"/>
        </w:rPr>
        <w:t xml:space="preserve">ругими словами, </w:t>
      </w:r>
      <w:r>
        <w:rPr>
          <w:rFonts w:ascii="Times New Roman" w:hAnsi="Times New Roman"/>
          <w:b w:val="1"/>
          <w:sz w:val="26"/>
        </w:rPr>
        <w:t>в 1,5—3 года</w:t>
      </w:r>
      <w:r>
        <w:rPr>
          <w:rFonts w:ascii="Times New Roman" w:hAnsi="Times New Roman"/>
          <w:sz w:val="26"/>
        </w:rPr>
        <w:t xml:space="preserve"> ре</w:t>
      </w:r>
      <w:r>
        <w:rPr>
          <w:rFonts w:ascii="Times New Roman" w:hAnsi="Times New Roman"/>
          <w:sz w:val="26"/>
        </w:rPr>
        <w:t xml:space="preserve">бенок может «открыть» условное игровое действие с предметом-заместителем, если в совместной игре он видит его у партнера-взрослого и в </w:t>
      </w:r>
      <w:r>
        <w:rPr>
          <w:rFonts w:ascii="Times New Roman" w:hAnsi="Times New Roman"/>
          <w:sz w:val="26"/>
        </w:rPr>
        <w:t>естественностью</w:t>
      </w:r>
      <w:r>
        <w:rPr>
          <w:rFonts w:ascii="Times New Roman" w:hAnsi="Times New Roman"/>
          <w:sz w:val="26"/>
        </w:rPr>
        <w:t xml:space="preserve"> осуществить такое действие. </w:t>
      </w:r>
      <w:r>
        <w:rPr>
          <w:rFonts w:ascii="Times New Roman" w:hAnsi="Times New Roman"/>
          <w:b w:val="1"/>
          <w:sz w:val="26"/>
        </w:rPr>
        <w:t>В 3—5 лет</w:t>
      </w:r>
      <w:r>
        <w:rPr>
          <w:rFonts w:ascii="Times New Roman" w:hAnsi="Times New Roman"/>
          <w:sz w:val="26"/>
        </w:rPr>
        <w:t xml:space="preserve"> дет</w:t>
      </w:r>
      <w:r>
        <w:rPr>
          <w:rFonts w:ascii="Times New Roman" w:hAnsi="Times New Roman"/>
          <w:sz w:val="26"/>
        </w:rPr>
        <w:t>ей можно «втягивать» в игру, ко</w:t>
      </w:r>
      <w:r>
        <w:rPr>
          <w:rFonts w:ascii="Times New Roman" w:hAnsi="Times New Roman"/>
          <w:sz w:val="26"/>
        </w:rPr>
        <w:t>торую взрослый</w:t>
      </w:r>
      <w:r>
        <w:rPr>
          <w:rFonts w:ascii="Times New Roman" w:hAnsi="Times New Roman"/>
          <w:sz w:val="26"/>
        </w:rPr>
        <w:t xml:space="preserve"> развертывает в виде цепочки ро</w:t>
      </w:r>
      <w:r>
        <w:rPr>
          <w:rFonts w:ascii="Times New Roman" w:hAnsi="Times New Roman"/>
          <w:sz w:val="26"/>
        </w:rPr>
        <w:t xml:space="preserve">левых диалогов. Тем самым он открывает ребенку роль, возможность использовать ее в качестве «строительного» блока игры. </w:t>
      </w:r>
      <w:r>
        <w:rPr>
          <w:rFonts w:ascii="Times New Roman" w:hAnsi="Times New Roman"/>
          <w:b w:val="1"/>
          <w:sz w:val="26"/>
        </w:rPr>
        <w:t>После 5-ти лет</w:t>
      </w:r>
      <w:r>
        <w:rPr>
          <w:rFonts w:ascii="Times New Roman" w:hAnsi="Times New Roman"/>
          <w:sz w:val="26"/>
        </w:rPr>
        <w:t xml:space="preserve"> воспитатель может втягивать детей в игру-придумывание, которая помогает детям освоить новый способ — творческое комбинирование различных событий. </w:t>
      </w:r>
    </w:p>
    <w:p w14:paraId="36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II принцип.</w:t>
      </w:r>
      <w:r>
        <w:rPr>
          <w:rFonts w:ascii="Times New Roman" w:hAnsi="Times New Roman"/>
          <w:sz w:val="26"/>
        </w:rPr>
        <w:t xml:space="preserve"> Воспитатель должен играть с детьми на протяжении всего дошкольного детства, но на к</w:t>
      </w:r>
      <w:r>
        <w:rPr>
          <w:rFonts w:ascii="Times New Roman" w:hAnsi="Times New Roman"/>
          <w:sz w:val="26"/>
        </w:rPr>
        <w:t>аждом этапе игру следует развер</w:t>
      </w:r>
      <w:r>
        <w:rPr>
          <w:rFonts w:ascii="Times New Roman" w:hAnsi="Times New Roman"/>
          <w:sz w:val="26"/>
        </w:rPr>
        <w:t>тывать так, чт</w:t>
      </w:r>
      <w:r>
        <w:rPr>
          <w:rFonts w:ascii="Times New Roman" w:hAnsi="Times New Roman"/>
          <w:sz w:val="26"/>
        </w:rPr>
        <w:t>обы дети сразу «открывали» и ус</w:t>
      </w:r>
      <w:r>
        <w:rPr>
          <w:rFonts w:ascii="Times New Roman" w:hAnsi="Times New Roman"/>
          <w:sz w:val="26"/>
        </w:rPr>
        <w:t>ваивали новы</w:t>
      </w:r>
      <w:r>
        <w:rPr>
          <w:rFonts w:ascii="Times New Roman" w:hAnsi="Times New Roman"/>
          <w:sz w:val="26"/>
        </w:rPr>
        <w:t>й, более сложный способ ее пост</w:t>
      </w:r>
      <w:r>
        <w:rPr>
          <w:rFonts w:ascii="Times New Roman" w:hAnsi="Times New Roman"/>
          <w:sz w:val="26"/>
        </w:rPr>
        <w:t>роения. Чтобы</w:t>
      </w:r>
      <w:r>
        <w:rPr>
          <w:rFonts w:ascii="Times New Roman" w:hAnsi="Times New Roman"/>
          <w:sz w:val="26"/>
        </w:rPr>
        <w:t xml:space="preserve"> успешно играть с кем-то, </w:t>
      </w:r>
      <w:r>
        <w:rPr>
          <w:rFonts w:ascii="Times New Roman" w:hAnsi="Times New Roman"/>
          <w:sz w:val="26"/>
        </w:rPr>
        <w:t>ребен</w:t>
      </w:r>
      <w:r>
        <w:rPr>
          <w:rFonts w:ascii="Times New Roman" w:hAnsi="Times New Roman"/>
          <w:sz w:val="26"/>
        </w:rPr>
        <w:t>ку необходимо хорошо понимать смысл действий партнера и самому быть понятным другому. По этому взрослому в совместной игре необходимо оговаривать свои действия и стимулировать к этому ребенка</w:t>
      </w:r>
      <w:r>
        <w:rPr>
          <w:rFonts w:ascii="Times New Roman" w:hAnsi="Times New Roman"/>
          <w:sz w:val="26"/>
        </w:rPr>
        <w:t>. Также важной является как мож</w:t>
      </w:r>
      <w:r>
        <w:rPr>
          <w:rFonts w:ascii="Times New Roman" w:hAnsi="Times New Roman"/>
          <w:sz w:val="26"/>
        </w:rPr>
        <w:t xml:space="preserve">но более ранняя ориентация на сверстника. </w:t>
      </w:r>
    </w:p>
    <w:p w14:paraId="37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III принцип.</w:t>
      </w:r>
      <w:r>
        <w:rPr>
          <w:rFonts w:ascii="Times New Roman" w:hAnsi="Times New Roman"/>
          <w:sz w:val="26"/>
        </w:rPr>
        <w:t xml:space="preserve"> Начиная с раннего возраста и далее на каждом этапе дошкольного детства не обходимо при формировании игровых умений одновременно ориентировать ребенка как на осуществление</w:t>
      </w:r>
      <w:r>
        <w:rPr>
          <w:rFonts w:ascii="Times New Roman" w:hAnsi="Times New Roman"/>
          <w:sz w:val="26"/>
        </w:rPr>
        <w:t xml:space="preserve"> игрового действия, так и на по</w:t>
      </w:r>
      <w:r>
        <w:rPr>
          <w:rFonts w:ascii="Times New Roman" w:hAnsi="Times New Roman"/>
          <w:sz w:val="26"/>
        </w:rPr>
        <w:t>яснение его смысла партнерам — взрослому или сверстникам. Реальной опор</w:t>
      </w:r>
      <w:r>
        <w:rPr>
          <w:rFonts w:ascii="Times New Roman" w:hAnsi="Times New Roman"/>
          <w:sz w:val="26"/>
        </w:rPr>
        <w:t>ой действий воспитателя при раз</w:t>
      </w:r>
      <w:r>
        <w:rPr>
          <w:rFonts w:ascii="Times New Roman" w:hAnsi="Times New Roman"/>
          <w:sz w:val="26"/>
        </w:rPr>
        <w:t xml:space="preserve">витии игровых умений детей является сюжет, причем с точки зрения его строения. </w:t>
      </w:r>
    </w:p>
    <w:p w14:paraId="38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На этапе формирования условных игровых действий взро</w:t>
      </w:r>
      <w:r>
        <w:rPr>
          <w:rFonts w:ascii="Times New Roman" w:hAnsi="Times New Roman"/>
          <w:sz w:val="26"/>
        </w:rPr>
        <w:t>слый должен развертывать преиму</w:t>
      </w:r>
      <w:r>
        <w:rPr>
          <w:rFonts w:ascii="Times New Roman" w:hAnsi="Times New Roman"/>
          <w:sz w:val="26"/>
        </w:rPr>
        <w:t xml:space="preserve">щественно «однотомные и одноперсонажные» сюжеты как смысловую цепочку действий. </w:t>
      </w:r>
    </w:p>
    <w:p w14:paraId="39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На этапе формирования ролевого поведения опорой для восп</w:t>
      </w:r>
      <w:r>
        <w:rPr>
          <w:rFonts w:ascii="Times New Roman" w:hAnsi="Times New Roman"/>
          <w:sz w:val="26"/>
        </w:rPr>
        <w:t>итателя должен стать многоперсо</w:t>
      </w:r>
      <w:r>
        <w:rPr>
          <w:rFonts w:ascii="Times New Roman" w:hAnsi="Times New Roman"/>
          <w:sz w:val="26"/>
        </w:rPr>
        <w:t>нажный сюжет</w:t>
      </w:r>
      <w:r>
        <w:rPr>
          <w:rFonts w:ascii="Times New Roman" w:hAnsi="Times New Roman"/>
          <w:sz w:val="26"/>
        </w:rPr>
        <w:t xml:space="preserve"> как система взаимосвязанных ро</w:t>
      </w:r>
      <w:r>
        <w:rPr>
          <w:rFonts w:ascii="Times New Roman" w:hAnsi="Times New Roman"/>
          <w:sz w:val="26"/>
        </w:rPr>
        <w:t xml:space="preserve">лей, который развертывается через взаимодействие персонажей. </w:t>
      </w:r>
    </w:p>
    <w:p w14:paraId="3A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На этапе формирования умения строить новые сюжетные</w:t>
      </w:r>
      <w:r>
        <w:rPr>
          <w:rFonts w:ascii="Times New Roman" w:hAnsi="Times New Roman"/>
          <w:sz w:val="26"/>
        </w:rPr>
        <w:t xml:space="preserve"> игры воспитатель должен развер</w:t>
      </w:r>
      <w:r>
        <w:rPr>
          <w:rFonts w:ascii="Times New Roman" w:hAnsi="Times New Roman"/>
          <w:sz w:val="26"/>
        </w:rPr>
        <w:t xml:space="preserve">тывать «многотемные» сюжеты», предполагающие комбинирование разнообразных событий. Воспитатель </w:t>
      </w:r>
      <w:r>
        <w:rPr>
          <w:rFonts w:ascii="Times New Roman" w:hAnsi="Times New Roman"/>
          <w:sz w:val="26"/>
        </w:rPr>
        <w:t>должен свободно оперировать эле</w:t>
      </w:r>
      <w:r>
        <w:rPr>
          <w:rFonts w:ascii="Times New Roman" w:hAnsi="Times New Roman"/>
          <w:sz w:val="26"/>
        </w:rPr>
        <w:t>ментами игр</w:t>
      </w:r>
      <w:r>
        <w:rPr>
          <w:rFonts w:ascii="Times New Roman" w:hAnsi="Times New Roman"/>
          <w:sz w:val="26"/>
        </w:rPr>
        <w:t>овых сюжетов — событиями, персо</w:t>
      </w:r>
      <w:r>
        <w:rPr>
          <w:rFonts w:ascii="Times New Roman" w:hAnsi="Times New Roman"/>
          <w:sz w:val="26"/>
        </w:rPr>
        <w:t xml:space="preserve">нажами, их действиями. </w:t>
      </w:r>
    </w:p>
    <w:p w14:paraId="3B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педагогическом процессе по отношению к игре существуют 2 взаимосвязанные составляющие: </w:t>
      </w:r>
    </w:p>
    <w:p w14:paraId="3C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совместная игра взрослого с детьми, в процессе которой формируются новые умения и навыки; </w:t>
      </w:r>
    </w:p>
    <w:p w14:paraId="3D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самостоятель</w:t>
      </w:r>
      <w:r>
        <w:rPr>
          <w:rFonts w:ascii="Times New Roman" w:hAnsi="Times New Roman"/>
          <w:sz w:val="26"/>
        </w:rPr>
        <w:t>ная детская игра, в которую вос</w:t>
      </w:r>
      <w:r>
        <w:rPr>
          <w:rFonts w:ascii="Times New Roman" w:hAnsi="Times New Roman"/>
          <w:sz w:val="26"/>
        </w:rPr>
        <w:t xml:space="preserve">питатель не включается, а </w:t>
      </w:r>
      <w:r>
        <w:rPr>
          <w:rFonts w:ascii="Times New Roman" w:hAnsi="Times New Roman"/>
          <w:sz w:val="26"/>
        </w:rPr>
        <w:t>лишь обеспечивает ус</w:t>
      </w:r>
      <w:r>
        <w:rPr>
          <w:rFonts w:ascii="Times New Roman" w:hAnsi="Times New Roman"/>
          <w:sz w:val="26"/>
        </w:rPr>
        <w:t>ловия для ее активизации. Важно помнить, что обе составляющие присутствуют на всех возрастных этапах дошкольного детства. Другое д</w:t>
      </w:r>
      <w:r>
        <w:rPr>
          <w:rFonts w:ascii="Times New Roman" w:hAnsi="Times New Roman"/>
          <w:sz w:val="26"/>
        </w:rPr>
        <w:t>ело, что меняется сама форма со</w:t>
      </w:r>
      <w:r>
        <w:rPr>
          <w:rFonts w:ascii="Times New Roman" w:hAnsi="Times New Roman"/>
          <w:sz w:val="26"/>
        </w:rPr>
        <w:t>вместной игры взр</w:t>
      </w:r>
      <w:r>
        <w:rPr>
          <w:rFonts w:ascii="Times New Roman" w:hAnsi="Times New Roman"/>
          <w:sz w:val="26"/>
        </w:rPr>
        <w:t>ослого с детьми, постепенно уве</w:t>
      </w:r>
      <w:r>
        <w:rPr>
          <w:rFonts w:ascii="Times New Roman" w:hAnsi="Times New Roman"/>
          <w:sz w:val="26"/>
        </w:rPr>
        <w:t>личивается доля самостоятельной игры.</w:t>
      </w:r>
    </w:p>
    <w:p w14:paraId="3E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3F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drawing>
          <wp:inline>
            <wp:extent cx="5356860" cy="2336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356860" cy="2336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41000000">
      <w:pPr>
        <w:pStyle w:val="Style_2"/>
        <w:spacing w:after="0" w:before="0" w:line="276" w:lineRule="auto"/>
        <w:ind/>
        <w:jc w:val="right"/>
        <w:rPr>
          <w:sz w:val="26"/>
        </w:rPr>
      </w:pPr>
      <w:r>
        <w:rPr>
          <w:sz w:val="26"/>
        </w:rPr>
        <w:t>Источник: Широкова Г. А. Справочник дошкольного психолога/</w:t>
      </w:r>
    </w:p>
    <w:p w14:paraId="42000000">
      <w:pPr>
        <w:pStyle w:val="Style_2"/>
        <w:spacing w:after="0" w:before="0" w:line="276" w:lineRule="auto"/>
        <w:ind/>
        <w:jc w:val="right"/>
        <w:rPr>
          <w:color w:val="000000"/>
          <w:sz w:val="26"/>
        </w:rPr>
      </w:pPr>
      <w:r>
        <w:rPr>
          <w:sz w:val="26"/>
        </w:rPr>
        <w:t>Серия «Справочники». — Ростов н/Д: «Феникс», 2004. — 384 с.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sectPr>
      <w:footerReference r:id="rId1" w:type="default"/>
      <w:pgSz w:h="16838" w:orient="portrait" w:w="11906"/>
      <w:pgMar w:bottom="851" w:footer="709" w:gutter="0" w:header="709" w:left="85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header"/>
    <w:basedOn w:val="Style_3"/>
    <w:link w:val="Style_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5_ch" w:type="character">
    <w:name w:val="header"/>
    <w:basedOn w:val="Style_3_ch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3_ch"/>
    <w:link w:val="Style_1"/>
  </w:style>
  <w:style w:styleId="Style_2" w:type="paragraph">
    <w:name w:val="Normal (Web)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2025-02-25T14:01:52Z</dcterms:modified>
</cp:coreProperties>
</file>