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spacing w:after="0"/>
        <w:ind/>
        <w:jc w:val="center"/>
        <w:rPr>
          <w:rFonts w:ascii="Times New Roman" w:hAnsi="Times New Roman"/>
          <w:sz w:val="26"/>
        </w:rPr>
      </w:pPr>
      <w:r>
        <w:rPr>
          <w:rFonts w:ascii="Times New Roman" w:hAnsi="Times New Roman"/>
          <w:sz w:val="26"/>
        </w:rPr>
        <w:t>Муниципальное бюджетное об</w:t>
      </w:r>
      <w:r>
        <w:rPr>
          <w:rFonts w:ascii="Times New Roman" w:hAnsi="Times New Roman"/>
          <w:sz w:val="26"/>
        </w:rPr>
        <w:t>разовательное учреждение № 18 «</w:t>
      </w:r>
      <w:r>
        <w:rPr>
          <w:rFonts w:ascii="Times New Roman" w:hAnsi="Times New Roman"/>
          <w:sz w:val="26"/>
        </w:rPr>
        <w:t>Мишутка»</w:t>
      </w:r>
    </w:p>
    <w:p w14:paraId="02000000"/>
    <w:p w14:paraId="03000000"/>
    <w:p w14:paraId="04000000"/>
    <w:p w14:paraId="05000000">
      <w:pPr>
        <w:rPr>
          <w:rFonts w:ascii="Times New Roman" w:hAnsi="Times New Roman"/>
          <w:sz w:val="28"/>
        </w:rPr>
      </w:pPr>
    </w:p>
    <w:p w14:paraId="06000000">
      <w:pPr>
        <w:rPr>
          <w:rFonts w:ascii="Times New Roman" w:hAnsi="Times New Roman"/>
          <w:sz w:val="28"/>
        </w:rPr>
      </w:pPr>
    </w:p>
    <w:p w14:paraId="07000000">
      <w:pPr>
        <w:rPr>
          <w:rFonts w:ascii="Times New Roman" w:hAnsi="Times New Roman"/>
          <w:sz w:val="28"/>
        </w:rPr>
      </w:pPr>
    </w:p>
    <w:p w14:paraId="08000000">
      <w:pPr>
        <w:rPr>
          <w:rFonts w:ascii="Times New Roman" w:hAnsi="Times New Roman"/>
          <w:sz w:val="28"/>
        </w:rPr>
      </w:pPr>
    </w:p>
    <w:p w14:paraId="09000000">
      <w:pPr>
        <w:rPr>
          <w:rFonts w:ascii="Times New Roman" w:hAnsi="Times New Roman"/>
          <w:sz w:val="28"/>
        </w:rPr>
      </w:pPr>
    </w:p>
    <w:p w14:paraId="0A000000">
      <w:pPr>
        <w:rPr>
          <w:rFonts w:ascii="Times New Roman" w:hAnsi="Times New Roman"/>
          <w:sz w:val="28"/>
        </w:rPr>
      </w:pPr>
    </w:p>
    <w:p w14:paraId="0B000000">
      <w:pPr>
        <w:ind/>
        <w:jc w:val="center"/>
        <w:rPr>
          <w:rFonts w:ascii="Times New Roman" w:hAnsi="Times New Roman"/>
          <w:b w:val="1"/>
          <w:i w:val="1"/>
          <w:sz w:val="44"/>
        </w:rPr>
      </w:pPr>
      <w:bookmarkStart w:id="1" w:name="_GoBack"/>
      <w:r>
        <w:rPr>
          <w:rFonts w:ascii="Times New Roman" w:hAnsi="Times New Roman"/>
          <w:b w:val="1"/>
          <w:i w:val="1"/>
          <w:sz w:val="44"/>
        </w:rPr>
        <w:t>Консультация для родителей</w:t>
      </w:r>
    </w:p>
    <w:p w14:paraId="0C000000">
      <w:pPr>
        <w:ind/>
        <w:jc w:val="center"/>
        <w:rPr>
          <w:rFonts w:ascii="Times New Roman" w:hAnsi="Times New Roman"/>
          <w:sz w:val="28"/>
        </w:rPr>
      </w:pPr>
      <w:r>
        <w:rPr>
          <w:rFonts w:ascii="Times New Roman" w:hAnsi="Times New Roman"/>
          <w:b w:val="1"/>
          <w:i w:val="1"/>
          <w:sz w:val="44"/>
        </w:rPr>
        <w:t xml:space="preserve"> «Дидактические игры как средство развития речи детей старшего дошкольного возраста»</w:t>
      </w:r>
      <w:bookmarkEnd w:id="1"/>
      <w:r>
        <w:rPr>
          <w:rFonts w:ascii="Times New Roman" w:hAnsi="Times New Roman"/>
          <w:b w:val="1"/>
          <w:i w:val="1"/>
          <w:sz w:val="44"/>
        </w:rPr>
        <w:t>.</w:t>
      </w:r>
      <w:r>
        <w:rPr>
          <w:rFonts w:ascii="Times New Roman" w:hAnsi="Times New Roman"/>
          <w:sz w:val="28"/>
        </w:rPr>
        <w:t xml:space="preserve"> </w:t>
      </w:r>
    </w:p>
    <w:p w14:paraId="0D000000">
      <w:pPr>
        <w:ind/>
        <w:jc w:val="center"/>
        <w:rPr>
          <w:rFonts w:ascii="Times New Roman" w:hAnsi="Times New Roman"/>
          <w:sz w:val="28"/>
        </w:rPr>
      </w:pPr>
    </w:p>
    <w:p w14:paraId="0E000000">
      <w:pPr>
        <w:ind/>
        <w:jc w:val="center"/>
        <w:rPr>
          <w:rFonts w:ascii="Times New Roman" w:hAnsi="Times New Roman"/>
          <w:sz w:val="28"/>
        </w:rPr>
      </w:pPr>
    </w:p>
    <w:p w14:paraId="0F000000">
      <w:pPr>
        <w:ind/>
        <w:jc w:val="center"/>
        <w:rPr>
          <w:rFonts w:ascii="Times New Roman" w:hAnsi="Times New Roman"/>
          <w:sz w:val="28"/>
        </w:rPr>
      </w:pPr>
    </w:p>
    <w:p w14:paraId="10000000">
      <w:pPr>
        <w:ind/>
        <w:jc w:val="center"/>
        <w:rPr>
          <w:rFonts w:ascii="Times New Roman" w:hAnsi="Times New Roman"/>
          <w:sz w:val="28"/>
        </w:rPr>
      </w:pPr>
    </w:p>
    <w:p w14:paraId="11000000">
      <w:pPr>
        <w:ind/>
        <w:jc w:val="center"/>
        <w:rPr>
          <w:rFonts w:ascii="Times New Roman" w:hAnsi="Times New Roman"/>
          <w:sz w:val="28"/>
        </w:rPr>
      </w:pPr>
    </w:p>
    <w:p w14:paraId="12000000">
      <w:pPr>
        <w:ind/>
        <w:jc w:val="center"/>
        <w:rPr>
          <w:rFonts w:ascii="Times New Roman" w:hAnsi="Times New Roman"/>
          <w:sz w:val="28"/>
        </w:rPr>
      </w:pPr>
    </w:p>
    <w:p w14:paraId="13000000">
      <w:pPr>
        <w:ind/>
        <w:jc w:val="center"/>
        <w:rPr>
          <w:rFonts w:ascii="Times New Roman" w:hAnsi="Times New Roman"/>
          <w:sz w:val="28"/>
        </w:rPr>
      </w:pPr>
    </w:p>
    <w:p w14:paraId="14000000">
      <w:pPr>
        <w:ind/>
        <w:jc w:val="center"/>
        <w:rPr>
          <w:rFonts w:ascii="Times New Roman" w:hAnsi="Times New Roman"/>
          <w:sz w:val="28"/>
        </w:rPr>
      </w:pPr>
    </w:p>
    <w:p w14:paraId="15000000">
      <w:pPr>
        <w:ind/>
        <w:jc w:val="center"/>
        <w:rPr>
          <w:rFonts w:ascii="Times New Roman" w:hAnsi="Times New Roman"/>
          <w:sz w:val="28"/>
        </w:rPr>
      </w:pPr>
    </w:p>
    <w:p w14:paraId="16000000">
      <w:pPr>
        <w:spacing w:after="0" w:line="311" w:lineRule="atLeast"/>
        <w:ind/>
        <w:jc w:val="right"/>
        <w:rPr>
          <w:rFonts w:ascii="Times New Roman" w:hAnsi="Times New Roman"/>
          <w:color w:themeColor="text1" w:val="000000"/>
          <w:sz w:val="28"/>
        </w:rPr>
      </w:pPr>
      <w:r>
        <w:rPr>
          <w:rFonts w:ascii="Times New Roman" w:hAnsi="Times New Roman"/>
          <w:color w:themeColor="text1" w:val="000000"/>
          <w:sz w:val="28"/>
        </w:rPr>
        <w:t xml:space="preserve">                                                                           Подготовила воспитатель: Масленцева И.А.</w:t>
      </w:r>
    </w:p>
    <w:p w14:paraId="17000000">
      <w:pPr>
        <w:spacing w:after="161" w:before="161" w:line="288" w:lineRule="atLeast"/>
        <w:ind/>
        <w:outlineLvl w:val="0"/>
        <w:rPr>
          <w:b w:val="1"/>
          <w:caps w:val="1"/>
          <w:color w:val="4078C6"/>
          <w:sz w:val="30"/>
        </w:rPr>
      </w:pPr>
    </w:p>
    <w:p w14:paraId="18000000">
      <w:pPr>
        <w:spacing w:after="161" w:before="161" w:line="288" w:lineRule="atLeast"/>
        <w:ind/>
        <w:outlineLvl w:val="0"/>
        <w:rPr>
          <w:b w:val="1"/>
          <w:caps w:val="1"/>
          <w:color w:val="4078C6"/>
          <w:sz w:val="30"/>
        </w:rPr>
      </w:pPr>
    </w:p>
    <w:p w14:paraId="19000000">
      <w:pPr>
        <w:spacing w:after="161" w:before="161" w:line="288" w:lineRule="atLeast"/>
        <w:ind/>
        <w:outlineLvl w:val="0"/>
        <w:rPr>
          <w:b w:val="1"/>
          <w:caps w:val="1"/>
          <w:color w:val="4078C6"/>
          <w:sz w:val="30"/>
        </w:rPr>
      </w:pPr>
    </w:p>
    <w:p w14:paraId="1A000000">
      <w:pPr>
        <w:spacing w:after="0" w:line="264" w:lineRule="auto"/>
        <w:ind/>
        <w:jc w:val="center"/>
        <w:rPr>
          <w:rFonts w:ascii="Times New Roman" w:hAnsi="Times New Roman"/>
          <w:sz w:val="26"/>
        </w:rPr>
      </w:pPr>
      <w:r>
        <w:rPr>
          <w:rFonts w:ascii="Times New Roman" w:hAnsi="Times New Roman"/>
          <w:sz w:val="26"/>
        </w:rPr>
        <w:t>г. Сургут</w:t>
      </w:r>
    </w:p>
    <w:p w14:paraId="1B000000">
      <w:pPr>
        <w:spacing w:after="0" w:line="264" w:lineRule="auto"/>
        <w:ind/>
        <w:jc w:val="center"/>
        <w:rPr>
          <w:rFonts w:ascii="Times New Roman" w:hAnsi="Times New Roman"/>
          <w:sz w:val="26"/>
        </w:rPr>
      </w:pPr>
      <w:r>
        <w:rPr>
          <w:rFonts w:ascii="Times New Roman" w:hAnsi="Times New Roman"/>
          <w:sz w:val="26"/>
        </w:rPr>
        <w:t>2023 год</w:t>
      </w:r>
    </w:p>
    <w:p w14:paraId="1C000000">
      <w:pPr>
        <w:ind/>
        <w:jc w:val="center"/>
        <w:rPr>
          <w:rFonts w:ascii="Times New Roman" w:hAnsi="Times New Roman"/>
          <w:sz w:val="28"/>
        </w:rPr>
      </w:pPr>
    </w:p>
    <w:p w14:paraId="1D000000">
      <w:pPr>
        <w:rPr>
          <w:rFonts w:ascii="Times New Roman" w:hAnsi="Times New Roman"/>
          <w:sz w:val="28"/>
        </w:rPr>
      </w:pPr>
      <w:r>
        <w:rPr>
          <w:rFonts w:ascii="Times New Roman" w:hAnsi="Times New Roman"/>
          <w:sz w:val="28"/>
        </w:rPr>
        <w:t>Ведущая деятельность дошкольников – игровая. В ходе игры развиваются психологические функции, среди которых речь занимает основное место. Ребенок в игре свободно выражает свои чувства, мысли, развивает в игре речевые навыки. При помощи дидактической игры дети самостоятельно решают разнообразные мыслительные задачи, описывают предметы, отгадывают по описанию, находят признаки сходства и различия и т. д. В игре у ребенка активизируется речевая деятельность, словарь пополняется новыми словами, обогащается его содержание. Чем богаче и правильнее речь у ребёнка, тем легче ему высказывать свои мысли, тем шире его возможности в познании окружающей действительности, поэтому так важно заботиться о своевременном формировании речи детей. Совместная игровая деятельность родителей и ребенка - это уникальный вид сотрудничества, в ходе которого ребенок получает огромный навык общения - это умение слышать друг друга. Речь ребёнка – это показатель его развития. Она развивается стремительными темпами, и уже к пяти годам заканчивается ее естественное становление. Это означает, что ребенок правильно произносит все звуки родного языка, имеет значительный словарный запас, освоил основы грамматического строя речи, владеет начальными формами связной речи, позволяющими ему свободно общаться. Хорошая речь – важнейшее условие всестороннего полноценного развития детей, это залог успешного обучения детей в школе. На сегодняшний день – образная, богатая синонимами, дополнениями и описаниями речь детей дошкольного возраста – явление очень редкое. В речи детей существует множество проблем. Любое нарушение речи в той или иной степени может отразиться на деятельности и поведении ребенка. Дети плохо говорящие, начиная осознавать свой недостаток, становятся молчаливыми, застенчивыми, нерешительными. Формирование правильной речи является одной из основных задач дошкольного образования. Речевая деятельность немыслима без познания, без освоения ребенком окружающего мира. В дошкольной педагогике под развивающей средой понимается естественная обстановка, рационально организованная, насыщенная, разнообразными сенсорными раздражителями и игровыми материалами. В этой среде возможно включение в активную познавательно-творческую деятельность детей группы. У старшего дошкольного возраста развитие речи достигает высокого уровня. Дети свободно используют в своей речи средства интонационной выразительности: могут читать стихи грустно, весело, торжественно, кроме того, дети в этом возрасте уже легко владеют повествовательной, вопросительной и восклицательной интонациями.</w:t>
      </w:r>
    </w:p>
    <w:p w14:paraId="1E000000">
      <w:pPr>
        <w:ind/>
        <w:jc w:val="center"/>
        <w:rPr>
          <w:rFonts w:ascii="Times New Roman" w:hAnsi="Times New Roman"/>
          <w:sz w:val="28"/>
        </w:rPr>
      </w:pPr>
      <w:r>
        <w:rPr>
          <w:rFonts w:ascii="Times New Roman" w:hAnsi="Times New Roman"/>
          <w:sz w:val="28"/>
        </w:rPr>
        <w:t xml:space="preserve"> Старшие дошкольники способны регулировать громкость голоса в различных ситуациях: громко отвечать на вопросы, тихо разговаривать в </w:t>
      </w:r>
      <w:r>
        <w:rPr>
          <w:rFonts w:ascii="Times New Roman" w:hAnsi="Times New Roman"/>
          <w:sz w:val="28"/>
        </w:rPr>
        <w:t xml:space="preserve">общественных местах, дружеских беседах. Они умеют уже пользоваться темпом речи: говорить медленно, быстро и умеренно при соответствующих обстоятельствах. Дети этого возраста умеют самостоятельно образовывать слова, подбирая нужный суффикс. Связная речь – является показателем речевого развития ребёнка. Дети хорошо понимают прочитанное, отвечают на вопросы по содержанию и способны пересказать сказку, короткие рассказы, составить рассказ самостоятельно. Идея включения дидактической игры в процесс обучения всегда привлекала отечественных педагогов. Еще К. Д. Ушинский отмечал, что дети легче усваивают новый материал в процессе игры, и рекомендовал стараться делать занятия более занимательными, так как это одна из основных задач обучения и воспитания детей. Дидактическая игра является ценным средством воспитания умственной активности, она активизирует психические процессы, вызывает у дошкольников живой интерес к процессу познания. Игра помогает сделать любой учебный материал увлекательным, вызывает у детей глубокое удовлетворение, стимулирует работоспособность, облегчает процесс усвоения знаний. Важным является положительное эмоциональное отношение детей к подобным играм. Удачно и быстро найденное решение, радость победы, успех, одобрение со стороны воспитателя оказывают на детей положительное воздействие, активизируют их мышление, способствуют повышению интереса к познавательной деятельности. Дидактическая игра развивает речь детей: пополняет и активизирует словарь, формирует правильное звукопроизношение, развивает связную речь, умение правильно выражать свои мысли. Кроме речевого развития, в игре осуществляется познавательное развитие, так как дидактическая игра способствует расширению представлений об окружающей действительности, совершенствованию внимания, памяти, наблюдательности и мышления. Комплекс дидактических игр и упражнений способствующих развитию речи у старших дошкольников “Испорченный телефон” Цель: развивать у детей слуховое восприятие, речевой слух. Игровые правила: Передавать слово надо так, чтобы рядом сидящие дети не слышали. Кто неправильно передал слово, т. е. испортил телефон, пересаживается на последний стул. Игровое действие: шепотом передавать слово на ухо рядом сидящему игроку. Ход игры. Дети выбирают ведущего при помощи считалочки. Все садятся на стулья, поставленные в ряд. Ведущий тихо (на ухо) говорит какое-либо слово рядом сидящему, тот передает его следующему и т. д. Слово должно дойти до последнего ребёнка. Ведущий спрашивает у последнего: «Какое ты услышал слово?» Если тот скажет слово, предложенное ведущим, значит, телефон исправен. Если же слово не то, водящий спрашивает всех по очереди (начиная с последнего) какое они услышали слово. Так узнают, кто напутал, «испортил телефон». Провинившийся занимает место последнего в ряду. «Сколько слов со звуком С?» Цель: закрепить умение выделять звук [С] в слове по представлению. </w:t>
      </w:r>
      <w:r>
        <w:rPr>
          <w:rFonts w:ascii="Times New Roman" w:hAnsi="Times New Roman"/>
          <w:sz w:val="28"/>
        </w:rPr>
        <w:t xml:space="preserve">Описание игры. Дана сюжетная картинка, на которой много предметных картинок, в том числе и содержащих в названии звук С (таких картинок должно быть двадцать) Ход игры. Детям дают рассмотреть картинку и назвать нужные предметы. Выиграет тот, кто назовет больше предметов. Дети накладывают фишки на найденные картинки, а ведущий затем проверяет правильность выполнения задания и определяет победителя. «Собери слово» Цель: научить проводить полный звуковой анализ слова с опорой на звуковую схему и фишки. Ход игры. Играющие получают домики с одинаковым количеством окошек. В домики должны поселиться жильцы – «слова», причём каждый звук хочет жить в отдельной комнате. Дети подсчитывают и делают вывод, сколько звуков должно быть в слове. Затем ведущий произносит слова, а играющие называют каждый звук отдельно и выкладывают фишки на окошки дома – «заселяют звуки». В начале обучения ведущий говорит только подходящие для заселения слова, т. е. такие, в которых будет столько звуков, сколько окошек в домике. На последующих этапах можно сказать слово, не подлежащее «заселению» в данный домик, и дети путем анализа убеждаются в ошибках. Такого жильца отправляют жить на другую улицу, где живут слова с другим количеством звуков. «Разгадай ребус» 1. Цел: научить навыкам выполнения звукового анализа; закрепить умение выделять первый слог из слова, составлять слова из слогов. Ход игры. Детям дают карточки, на которых изображены по три картинки, На карточке спряталось слово. Его надо составить, выделив из каждого слова- названия первые слоги, а затем из них сложить слово. Карточки с предметными картинками для игры: Ухо, колокольчик, лыжи - уколы Ломы, шары, диван - лошади Гиря, тапочки, ракета - гитара Совы, лопата, машина - солома Огурец, пушка, карандаш - опушка Дома, ромашка, гиря - дороги Карандаш, тюлень, шары - катюша Оса, синица, наперсток - осина Орехи, совы, капуста - осока Ворона, роза, тарелка - ворота Оса, куры, нитки - окуни Банан, заяц, рыба - базары Сова, балалайка, карандаш - собака “Вершки-корешки” Цель: упражнять детей в классификации овощей (по принципу: что у них съедобно – корень или плоды на стебле). Игровые правила. Отвечать можно только двумя словами: вершки и корешки. Кто ошибся, платит фант. Игровое действие. Разыгрывание фантов. Ход игры. Взрослый уточняет с детьми, что они будут называть вершками, а что – корешками: «Съедобный корень овоща будем называть корешками, а съедобный плод на стебле – вершками». Взрослый называет какой-нибудь овощ, а дети быстро отвечают, что в нем съедобно: вершки или корешки. Тот, кто ошибается, платит фант, который в конце игры выкупается. Взрослый может предложить иной вариант; он говорит: «Вершки – а дети вспоминают овощи, у которых съедобны вершки». “Новоселье” Цель: научить детей дифференцировать понятия «одежда» и «обувь». Ход игры. Создаётся следующая игровая ситуация: «У куклы Кати новоселье. Ей надо собрать свои вещи для переезда на новую квартиру. </w:t>
      </w:r>
      <w:r>
        <w:rPr>
          <w:rFonts w:ascii="Times New Roman" w:hAnsi="Times New Roman"/>
          <w:sz w:val="28"/>
        </w:rPr>
        <w:t xml:space="preserve">Помогите уложить вещи правильно, чтобы на новом месте ей было легко отыскать все свои платья и туфли. Одежду будем складывать в одну коробку, а обувь – в другую». Затем ребёнку дается два набора предметных картинок и две коробочки, на каждой помещён свой символ: для одежды платье, для обуви – сапожки. «Скажи наоборот» Цель: упражнять детей в подборе антонимов. Игровое правило. Называть слова только противоположные по смыслу. Игровые действия. Бросание и ловля мяча. Ход игры. Дети и воспитатель садятся на стулья в кружок. Воспитатель произносит слово и бросает кому-нибудь из детей мяч, ребенок должен поймать мяч, сказать слово противоположное по смыслу, и снова бросить мяч Воспитателю. Воспитатель говорит: «Вперёд». Ребенок отвечает «Назад», (большой - маленький, высокий - низкий, старый - новый, направо - налево, вверх-вниз, далеко - близко, высоко - низко, внутри - снаружи, дальше - ближе). Можно произносить не только наречия, но и прилагательные, глаголы: далекий - близкий, верхний - нижний, правый - левый, завязать - развязать, намочить - высушить и др. Если тот, кому бросили мяч, затрудняется ответить, дети по предложению воспитателя хором произносят нужное слово. «Первоклассник» Цель: закреплять знания детей о том, что нужно первокласснику для учёбы в школе. Игровое правило. Собирать предметы по сигналу. Игровое действие. Соревнование – кто быстрее соберёт в портфель все необходимое для школы. Ход игры. На столе лежат два портфеля. На других столах лежат учебные принадлежности: тетради, буквари, пеналы, ручки, цветные карандаши и др. После краткой беседы о том, что дети подготовительной группы скоро пойдут в школу, и что они будут сами собирать в портфели все необходимое для учебы, они начинают игру выходят к столу двое играющих; по команде водящего они должны отобрать необходимые учебные принадлежности, аккуратно положить их в портфель и закрыть его. Кто это сделает первым, тот и выиграл. Чтобы игра продолжалась, дети, выполнившие задание, выбирают вместо себя других участников. Остальные выступают в роли болельщиков и объективно оценивают победителей. В игре закрепляется название и назначение всех предметов. Воспитатель обращает внимание ребят на то. Что не только быстро надо всё складывать, но и аккуратно; поощряет тех, кто точно выполнил эти правила в игре. «Кузовок» Цель: упражнять в подборе существительных оканчивающих на –ок. Игровые правила. В кузовок можно «класть» только те слова, которые оканчиваются на -ок; назвавший слово, передает кузовок другому ребенку. Игровые действия. Имитация движения, будто в кузовок опускают предмет, кто ошибется, назвав предмет с другим окончанием, платит фант, который затем отыгрывается. Ход игры. Играющие усаживаются за столом. Взрослый ставит на стол корзинку и говорит: - В этот кузовок будете класть все, что можно назвать словом, оканчивающимся на - ок. Например: замок, платок, чулок, носок, шнурок, листок, комок, </w:t>
      </w:r>
      <w:r>
        <w:rPr>
          <w:rFonts w:ascii="Times New Roman" w:hAnsi="Times New Roman"/>
          <w:sz w:val="28"/>
        </w:rPr>
        <w:t>колобок, крючок. Грибок, коробок и т. д. Каждый «положит» в кузовок, что он хочет, согласно правилу, и передаёт своему соседу, тот тоже положит что-нибудь из вещей, название которых оканчивается на -ок, и передаёт кузовок дальше. «Найди лишнее слово» Цель: упражнять на развитие мыслительных процессов обобщения, отвлечения, выделения существенных признаков. Ход игры. Предложите ребёнку определить слово, которое является лишним. Читайте ребёнку серию слов. Каждая серия состоит из 4 слов. 3 слова в каждой серии являются однородными и могут быть объединены по общему для них признаку, а 1 слово отличается от них и должно быть исключено. «Подружи слова» Цель: обучать составлять предложения, используя данные слова. Ход игры. Слова в предложении перепутались. Попробуйте подружить слова и произнести предложения правильно. Что получится? Предложения для игры: 1. Дымок, идёт, трубы, из. 2. Любит, медвежонок, мёд. 3. Стоят, вазе, цветы, в. 4. Орехи, в, белка, дупло, прячет. «Исправь предложение» Цель: научить находить смысловую ошибку в предложении. Ход игры. Послушайте предложения и скажите, все ли в них верно. Найди и исправь ошибки. 1. Зимой в саду расцвели яблоки. 2. Внизу над ними расстилалась ледяная пустыня. 3. В ответ я киваю ему рукой. 4. Самолёт сюда, чтобы помочь людям. 5. Скоро удалось мне на машине. 6. Мальчик стеклом разбил мяч. 7. После грибов будут дожди. 8. Весной луга затопили реку. 9. Снег засыпало пышным лесом «Слушай и считай» Цель: научить определять количество слов в предложении на слух. Ход игры. Ведущий произносит вслух предложение, а дети подсчитывают количество слов и поднимают соответствующую цифру. Первоначально для анализа используются предложения без предлогов и союзов. Предложения для игры: 1. Алеша спит. 2. Петя кормит кур. 3. Врач лечит больного ребёнка. 4. Мама купила Наташе красивую куклу. 5. Сильный спортсмен легко поднял тяжёлую штангу. «Составь фразу» Цель: закрепить умение образовывать фразу из слов. Ход игры. Предложить детям придумать предложения, используя следующие слова: щенок корзина ягода песня куст озеро «Найди картинке место» Цель: научить соблюдать последовательность хода действия. Ход игры. Перед ребенком выкладывают серию картинок, но одну картинку не помещают в ряд, а дают ребёнку с тем, чтобы он нашёл ей нужное место. После этого просят ребёнка составить рассказ по восстановленной серии картинок. Наборы серийных картинок для выкладывания «Исправь ошибку» Цель: научить устанавливать правильную последовательность действия. Ход игры. Перед ребёнком раскладывают серию картинок, но одна картинка лежит не на своем месте. Ребёнок находит ошибку, кладёт картинку на нужное место, а затем составляет рассказ по всей серии картинок. «Какая картинка не нужна?» Цель: научить находить лишние для данного рассказа детали. Ход игры. Перед ребёнком выкладывают серию картинок в правильной последовательности, но одну картинку берут из другого набора.</w:t>
      </w:r>
    </w:p>
    <w:sectPr>
      <w:pgSz w:h="16838" w:orient="portrait" w:w="11906"/>
      <w:pgMar w:bottom="1134"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spacing w:line="252" w:lineRule="auto"/>
      <w:ind/>
    </w:pPr>
  </w:style>
  <w:style w:default="1" w:styleId="Style_1_ch" w:type="character">
    <w:name w:val="Normal"/>
    <w:link w:val="Style_1"/>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heading 3"/>
    <w:next w:val="Style_1"/>
    <w:link w:val="Style_6_ch"/>
    <w:uiPriority w:val="9"/>
    <w:qFormat/>
    <w:pPr>
      <w:spacing w:after="120" w:before="120"/>
      <w:ind/>
      <w:jc w:val="both"/>
      <w:outlineLvl w:val="2"/>
    </w:pPr>
    <w:rPr>
      <w:rFonts w:ascii="XO Thames" w:hAnsi="XO Thames"/>
      <w:b w:val="1"/>
      <w:sz w:val="26"/>
    </w:rPr>
  </w:style>
  <w:style w:styleId="Style_6_ch" w:type="character">
    <w:name w:val="heading 3"/>
    <w:link w:val="Style_6"/>
    <w:rPr>
      <w:rFonts w:ascii="XO Thames" w:hAnsi="XO Thames"/>
      <w:b w:val="1"/>
      <w:sz w:val="26"/>
    </w:rPr>
  </w:style>
  <w:style w:styleId="Style_7" w:type="paragraph">
    <w:name w:val="toc 3"/>
    <w:next w:val="Style_1"/>
    <w:link w:val="Style_7_ch"/>
    <w:uiPriority w:val="39"/>
    <w:pPr>
      <w:ind w:firstLine="0" w:left="400"/>
      <w:jc w:val="left"/>
    </w:pPr>
    <w:rPr>
      <w:rFonts w:ascii="XO Thames" w:hAnsi="XO Thames"/>
      <w:sz w:val="28"/>
    </w:rPr>
  </w:style>
  <w:style w:styleId="Style_7_ch" w:type="character">
    <w:name w:val="toc 3"/>
    <w:link w:val="Style_7"/>
    <w:rPr>
      <w:rFonts w:ascii="XO Thames" w:hAnsi="XO Thames"/>
      <w:sz w:val="28"/>
    </w:rPr>
  </w:style>
  <w:style w:styleId="Style_8" w:type="paragraph">
    <w:name w:val="heading 5"/>
    <w:next w:val="Style_1"/>
    <w:link w:val="Style_8_ch"/>
    <w:uiPriority w:val="9"/>
    <w:qFormat/>
    <w:pPr>
      <w:spacing w:after="120" w:before="120"/>
      <w:ind/>
      <w:jc w:val="both"/>
      <w:outlineLvl w:val="4"/>
    </w:pPr>
    <w:rPr>
      <w:rFonts w:ascii="XO Thames" w:hAnsi="XO Thames"/>
      <w:b w:val="1"/>
      <w:sz w:val="22"/>
    </w:rPr>
  </w:style>
  <w:style w:styleId="Style_8_ch" w:type="character">
    <w:name w:val="heading 5"/>
    <w:link w:val="Style_8"/>
    <w:rPr>
      <w:rFonts w:ascii="XO Thames" w:hAnsi="XO Thames"/>
      <w:b w:val="1"/>
      <w:sz w:val="22"/>
    </w:rPr>
  </w:style>
  <w:style w:styleId="Style_9" w:type="paragraph">
    <w:name w:val="heading 1"/>
    <w:next w:val="Style_1"/>
    <w:link w:val="Style_9_ch"/>
    <w:uiPriority w:val="9"/>
    <w:qFormat/>
    <w:pPr>
      <w:spacing w:after="120" w:before="120"/>
      <w:ind/>
      <w:jc w:val="both"/>
      <w:outlineLvl w:val="0"/>
    </w:pPr>
    <w:rPr>
      <w:rFonts w:ascii="XO Thames" w:hAnsi="XO Thames"/>
      <w:b w:val="1"/>
      <w:sz w:val="32"/>
    </w:rPr>
  </w:style>
  <w:style w:styleId="Style_9_ch" w:type="character">
    <w:name w:val="heading 1"/>
    <w:link w:val="Style_9"/>
    <w:rPr>
      <w:rFonts w:ascii="XO Thames" w:hAnsi="XO Thames"/>
      <w:b w:val="1"/>
      <w:sz w:val="32"/>
    </w:rPr>
  </w:style>
  <w:style w:styleId="Style_10" w:type="paragraph">
    <w:name w:val="Hyperlink"/>
    <w:link w:val="Style_10_ch"/>
    <w:rPr>
      <w:color w:val="0000FF"/>
      <w:u w:val="single"/>
    </w:rPr>
  </w:style>
  <w:style w:styleId="Style_10_ch" w:type="character">
    <w:name w:val="Hyperlink"/>
    <w:link w:val="Style_10"/>
    <w:rPr>
      <w:color w:val="0000FF"/>
      <w:u w:val="single"/>
    </w:rPr>
  </w:style>
  <w:style w:styleId="Style_11" w:type="paragraph">
    <w:name w:val="Footnote"/>
    <w:link w:val="Style_11_ch"/>
    <w:pPr>
      <w:ind w:firstLine="851" w:left="0"/>
      <w:jc w:val="both"/>
    </w:pPr>
    <w:rPr>
      <w:rFonts w:ascii="XO Thames" w:hAnsi="XO Thames"/>
      <w:sz w:val="22"/>
    </w:rPr>
  </w:style>
  <w:style w:styleId="Style_11_ch" w:type="character">
    <w:name w:val="Footnote"/>
    <w:link w:val="Style_11"/>
    <w:rPr>
      <w:rFonts w:ascii="XO Thames" w:hAnsi="XO Thames"/>
      <w:sz w:val="22"/>
    </w:rPr>
  </w:style>
  <w:style w:styleId="Style_12" w:type="paragraph">
    <w:name w:val="toc 1"/>
    <w:basedOn w:val="Style_1"/>
    <w:next w:val="Style_1"/>
    <w:link w:val="Style_12_ch"/>
    <w:uiPriority w:val="39"/>
    <w:pPr>
      <w:spacing w:after="100" w:line="276" w:lineRule="auto"/>
      <w:ind/>
    </w:pPr>
    <w:rPr>
      <w:rFonts w:ascii="Times New Roman" w:hAnsi="Times New Roman"/>
    </w:rPr>
  </w:style>
  <w:style w:styleId="Style_12_ch" w:type="character">
    <w:name w:val="toc 1"/>
    <w:basedOn w:val="Style_1_ch"/>
    <w:link w:val="Style_12"/>
    <w:rPr>
      <w:rFonts w:ascii="Times New Roman" w:hAnsi="Times New Roman"/>
    </w:rPr>
  </w:style>
  <w:style w:styleId="Style_13" w:type="paragraph">
    <w:name w:val="Header and Footer"/>
    <w:link w:val="Style_13_ch"/>
    <w:pPr>
      <w:spacing w:line="240" w:lineRule="auto"/>
      <w:ind/>
      <w:jc w:val="both"/>
    </w:pPr>
    <w:rPr>
      <w:rFonts w:ascii="XO Thames" w:hAnsi="XO Thames"/>
      <w:sz w:val="20"/>
    </w:rPr>
  </w:style>
  <w:style w:styleId="Style_13_ch" w:type="character">
    <w:name w:val="Header and Footer"/>
    <w:link w:val="Style_13"/>
    <w:rPr>
      <w:rFonts w:ascii="XO Thames" w:hAnsi="XO Thames"/>
      <w:sz w:val="20"/>
    </w:rPr>
  </w:style>
  <w:style w:styleId="Style_14" w:type="paragraph">
    <w:name w:val="toc 9"/>
    <w:next w:val="Style_1"/>
    <w:link w:val="Style_14_ch"/>
    <w:uiPriority w:val="39"/>
    <w:pPr>
      <w:ind w:firstLine="0" w:left="1600"/>
      <w:jc w:val="left"/>
    </w:pPr>
    <w:rPr>
      <w:rFonts w:ascii="XO Thames" w:hAnsi="XO Thames"/>
      <w:sz w:val="28"/>
    </w:rPr>
  </w:style>
  <w:style w:styleId="Style_14_ch" w:type="character">
    <w:name w:val="toc 9"/>
    <w:link w:val="Style_14"/>
    <w:rPr>
      <w:rFonts w:ascii="XO Thames" w:hAnsi="XO Thames"/>
      <w:sz w:val="28"/>
    </w:rPr>
  </w:style>
  <w:style w:styleId="Style_15" w:type="paragraph">
    <w:name w:val="toc 8"/>
    <w:next w:val="Style_1"/>
    <w:link w:val="Style_15_ch"/>
    <w:uiPriority w:val="39"/>
    <w:pPr>
      <w:ind w:firstLine="0" w:left="1400"/>
      <w:jc w:val="left"/>
    </w:pPr>
    <w:rPr>
      <w:rFonts w:ascii="XO Thames" w:hAnsi="XO Thames"/>
      <w:sz w:val="28"/>
    </w:rPr>
  </w:style>
  <w:style w:styleId="Style_15_ch" w:type="character">
    <w:name w:val="toc 8"/>
    <w:link w:val="Style_15"/>
    <w:rPr>
      <w:rFonts w:ascii="XO Thames" w:hAnsi="XO Thames"/>
      <w:sz w:val="28"/>
    </w:rPr>
  </w:style>
  <w:style w:styleId="Style_16" w:type="paragraph">
    <w:name w:val="Default Paragraph Font"/>
    <w:link w:val="Style_16_ch"/>
  </w:style>
  <w:style w:styleId="Style_16_ch" w:type="character">
    <w:name w:val="Default Paragraph Font"/>
    <w:link w:val="Style_16"/>
  </w:style>
  <w:style w:styleId="Style_17" w:type="paragraph">
    <w:name w:val="toc 5"/>
    <w:next w:val="Style_1"/>
    <w:link w:val="Style_17_ch"/>
    <w:uiPriority w:val="39"/>
    <w:pPr>
      <w:ind w:firstLine="0" w:left="800"/>
      <w:jc w:val="left"/>
    </w:pPr>
    <w:rPr>
      <w:rFonts w:ascii="XO Thames" w:hAnsi="XO Thames"/>
      <w:sz w:val="28"/>
    </w:rPr>
  </w:style>
  <w:style w:styleId="Style_17_ch" w:type="character">
    <w:name w:val="toc 5"/>
    <w:link w:val="Style_17"/>
    <w:rPr>
      <w:rFonts w:ascii="XO Thames" w:hAnsi="XO Thames"/>
      <w:sz w:val="28"/>
    </w:rPr>
  </w:style>
  <w:style w:styleId="Style_18" w:type="paragraph">
    <w:name w:val="Subtitle"/>
    <w:next w:val="Style_1"/>
    <w:link w:val="Style_18_ch"/>
    <w:uiPriority w:val="11"/>
    <w:qFormat/>
    <w:pPr>
      <w:ind/>
      <w:jc w:val="both"/>
    </w:pPr>
    <w:rPr>
      <w:rFonts w:ascii="XO Thames" w:hAnsi="XO Thames"/>
      <w:i w:val="1"/>
      <w:sz w:val="24"/>
    </w:rPr>
  </w:style>
  <w:style w:styleId="Style_18_ch" w:type="character">
    <w:name w:val="Subtitle"/>
    <w:link w:val="Style_18"/>
    <w:rPr>
      <w:rFonts w:ascii="XO Thames" w:hAnsi="XO Thames"/>
      <w:i w:val="1"/>
      <w:sz w:val="24"/>
    </w:rPr>
  </w:style>
  <w:style w:styleId="Style_19" w:type="paragraph">
    <w:name w:val="Title"/>
    <w:next w:val="Style_1"/>
    <w:link w:val="Style_19_ch"/>
    <w:uiPriority w:val="10"/>
    <w:qFormat/>
    <w:pPr>
      <w:spacing w:after="567" w:before="567"/>
      <w:ind/>
      <w:jc w:val="center"/>
    </w:pPr>
    <w:rPr>
      <w:rFonts w:ascii="XO Thames" w:hAnsi="XO Thames"/>
      <w:b w:val="1"/>
      <w:caps w:val="1"/>
      <w:sz w:val="40"/>
    </w:rPr>
  </w:style>
  <w:style w:styleId="Style_19_ch" w:type="character">
    <w:name w:val="Title"/>
    <w:link w:val="Style_19"/>
    <w:rPr>
      <w:rFonts w:ascii="XO Thames" w:hAnsi="XO Thames"/>
      <w:b w:val="1"/>
      <w:caps w:val="1"/>
      <w:sz w:val="40"/>
    </w:rPr>
  </w:style>
  <w:style w:styleId="Style_20" w:type="paragraph">
    <w:name w:val="heading 4"/>
    <w:next w:val="Style_1"/>
    <w:link w:val="Style_20_ch"/>
    <w:uiPriority w:val="9"/>
    <w:qFormat/>
    <w:pPr>
      <w:spacing w:after="120" w:before="120"/>
      <w:ind/>
      <w:jc w:val="both"/>
      <w:outlineLvl w:val="3"/>
    </w:pPr>
    <w:rPr>
      <w:rFonts w:ascii="XO Thames" w:hAnsi="XO Thames"/>
      <w:b w:val="1"/>
      <w:sz w:val="24"/>
    </w:rPr>
  </w:style>
  <w:style w:styleId="Style_20_ch" w:type="character">
    <w:name w:val="heading 4"/>
    <w:link w:val="Style_20"/>
    <w:rPr>
      <w:rFonts w:ascii="XO Thames" w:hAnsi="XO Thames"/>
      <w:b w:val="1"/>
      <w:sz w:val="24"/>
    </w:rPr>
  </w:style>
  <w:style w:styleId="Style_21" w:type="paragraph">
    <w:name w:val="heading 2"/>
    <w:next w:val="Style_1"/>
    <w:link w:val="Style_21_ch"/>
    <w:uiPriority w:val="9"/>
    <w:qFormat/>
    <w:pPr>
      <w:spacing w:after="120" w:before="120"/>
      <w:ind/>
      <w:jc w:val="both"/>
      <w:outlineLvl w:val="1"/>
    </w:pPr>
    <w:rPr>
      <w:rFonts w:ascii="XO Thames" w:hAnsi="XO Thames"/>
      <w:b w:val="1"/>
      <w:sz w:val="28"/>
    </w:rPr>
  </w:style>
  <w:style w:styleId="Style_21_ch" w:type="character">
    <w:name w:val="heading 2"/>
    <w:link w:val="Style_21"/>
    <w:rPr>
      <w:rFonts w:ascii="XO Thames" w:hAnsi="XO Thames"/>
      <w:b w:val="1"/>
      <w:sz w:val="28"/>
    </w:rPr>
  </w:style>
  <w:style w:default="1" w:styleId="Style_2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3" Target="styles.xml" Type="http://schemas.openxmlformats.org/officeDocument/2006/relationships/styles"/>
  <Relationship Id="rId2" Target="settings.xml" Type="http://schemas.openxmlformats.org/officeDocument/2006/relationships/settings"/>
  <Relationship Id="rId1"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2025-03-16T13:03:53Z</dcterms:modified>
</cp:coreProperties>
</file>