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70" w:rsidRDefault="00CE4A70" w:rsidP="00CE4A70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Положение об учетной политике</w:t>
      </w:r>
    </w:p>
    <w:p w:rsidR="00CE4A70" w:rsidRDefault="00CE4A70" w:rsidP="00CE4A70">
      <w:pPr>
        <w:autoSpaceDE w:val="0"/>
        <w:autoSpaceDN w:val="0"/>
        <w:adjustRightInd w:val="0"/>
        <w:jc w:val="center"/>
        <w:outlineLvl w:val="0"/>
      </w:pPr>
      <w:r>
        <w:t xml:space="preserve">Муниципального учреждения «Централизованная бухгалтерия </w:t>
      </w:r>
    </w:p>
    <w:p w:rsidR="00CE4A70" w:rsidRDefault="00CE4A70" w:rsidP="00CE4A70">
      <w:pPr>
        <w:autoSpaceDE w:val="0"/>
        <w:autoSpaceDN w:val="0"/>
        <w:adjustRightInd w:val="0"/>
        <w:jc w:val="center"/>
        <w:outlineLvl w:val="0"/>
      </w:pPr>
      <w:r>
        <w:t xml:space="preserve">детских учреждений образования </w:t>
      </w:r>
    </w:p>
    <w:p w:rsidR="00CE4A70" w:rsidRDefault="00CE4A70" w:rsidP="00CE4A70">
      <w:pPr>
        <w:autoSpaceDE w:val="0"/>
        <w:autoSpaceDN w:val="0"/>
        <w:adjustRightInd w:val="0"/>
        <w:jc w:val="center"/>
        <w:outlineLvl w:val="0"/>
      </w:pPr>
      <w:r>
        <w:t>администрации городского округа Кинешма»</w:t>
      </w:r>
    </w:p>
    <w:p w:rsidR="00CE4A70" w:rsidRDefault="00CE4A70" w:rsidP="00CE4A70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CE4A70" w:rsidRDefault="00CE4A70" w:rsidP="00CE4A70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>
        <w:rPr>
          <w:b/>
        </w:rPr>
        <w:t xml:space="preserve">. Общие положения по организации и ведению 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бухгалтерского учета.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1. Ведение бухгалтерского учета и хранение документов бухгалтерского учёта   организуются руководителем учреждения (ст.</w:t>
      </w:r>
      <w:hyperlink r:id="rId5" w:history="1">
        <w:r>
          <w:rPr>
            <w:rStyle w:val="a3"/>
            <w:color w:val="auto"/>
            <w:u w:val="none"/>
          </w:rPr>
          <w:t>7</w:t>
        </w:r>
      </w:hyperlink>
      <w:r>
        <w:t xml:space="preserve"> Закона №402-ФЗ).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2. Ведение бухгалтерского учета осуществляется централизованной  бухгалтерией, возглавляемой руководителем МУ «ЦБ детских учреждений образования», на основании договора на бухгалтерское обслуживание. Сотрудники бухгалтерии руководствуются в работе Уставом и должностными инструкциями.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Ответственным за ведение бухгалтерского учета является главный бухгалтер.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3. Бухгалтерский учет в учреждениях ведется в соответствии с нормативными актами и разъяснениями, такими как: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Бюджетный кодекс Российской Федерации (с изменениями и дополнениями);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Гражданский кодекс Российской Федерации (с изменениями и дополнениями);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Налоговый кодекс Российской Федерации (с изменениями и дополнениями);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Федеральный закон от 06 декабря 2011 №402-ФЗ «О бухгалтерском учете»;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- Приказ Минфина России от 01.12.2010 №157н «Об утверждении Единого </w:t>
      </w:r>
      <w:hyperlink r:id="rId6" w:history="1">
        <w:r>
          <w:rPr>
            <w:rStyle w:val="a3"/>
            <w:color w:val="auto"/>
            <w:u w:val="none"/>
          </w:rPr>
          <w:t>плана</w:t>
        </w:r>
      </w:hyperlink>
      <w:r>
        <w:t xml:space="preserve">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- Приказ Минфина России от 06.12.2010 №162н «Об утверждении </w:t>
      </w:r>
      <w:hyperlink r:id="rId7" w:history="1">
        <w:r>
          <w:rPr>
            <w:rStyle w:val="a3"/>
            <w:color w:val="auto"/>
            <w:u w:val="none"/>
          </w:rPr>
          <w:t>Плана</w:t>
        </w:r>
      </w:hyperlink>
      <w:r>
        <w:t xml:space="preserve"> счетов бюджетного учета и Инструкции по его применению»;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16.12.2010 №174н «Об утверждении Плана счетов бухгалтерского учёта бюджетных учреждений и Инструкции по его применению»;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Министерства Финансов Российской Федерации от 15.04.2021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Федеральный закон от 06.04.2011 №63-ФЗ «Об электронной подписи»;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- Приказ Минфина России от 29.11.2017 №209н «Об утверждении </w:t>
      </w:r>
      <w:proofErr w:type="gramStart"/>
      <w:r>
        <w:t>Порядка применения классификации операций сектора государственного управления</w:t>
      </w:r>
      <w:proofErr w:type="gramEnd"/>
      <w:r>
        <w:t>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28.12.2010 №191н «Об утверждении Инструкции о порядке составления и предоставления годовой, квартальной и месячной отчётности об исполнении бюджетов бюджетной системы Российской Федерации»;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lastRenderedPageBreak/>
        <w:t>- Приказ Минфина России от 25.03.2011 №33н «Об утверждении Инструкции о порядке составления, предоставления годовой, квартальной бухгалтерской отчётности государственных (муниципальных) бюджетных и автономных учреждений»;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31.08.2018 №186н «О требованиях к составлению и утверждению плана финансово-хозяйственной деятельности государственного (муниципального) учреждения»;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proofErr w:type="gramStart"/>
      <w:r>
        <w:t>- Федеральные стандарты бухгалтерского учета для организаций государственного сектора, утвержденные приказами Минфина России от 31.12.2016 №256н, №257н, №258н, №259н, №260н (соответственно Стандарт «Концептуальные основы бухгалтерского учета и отчетности организаций государственного сектора», Стандарт «Основные средства», Стандарт «Аренда», Стандарт «Обесценение активов», Стандарт «Предоставление бухгалтерской (финансовой) отчетности»), от 30.12.2017 №274н, №275н, №277н,  №278н (соответственно СГС «Учётная политика, оценочные значения и ошибки», СГС «События после</w:t>
      </w:r>
      <w:proofErr w:type="gramEnd"/>
      <w:r>
        <w:t xml:space="preserve"> отчётной даты», СГС «Информация о связанных сторонах», СГС «Отчёт о движении денежных средств»), от 27.02.2018 №32н (СГС «Доходы»), от 28.02.2018 №34н, №37н (соответственно СГС «Непроизведённые активы», СГС «Бюджетная информация в бухгалтерской (финансовой) отчётности»), от 30.05.2018 №124н (СГС «Резервы. </w:t>
      </w:r>
      <w:proofErr w:type="gramStart"/>
      <w:r>
        <w:t>Раскрытие информации об условных обязательствах и условных активах»), от 07.12.2018 №256н (СГС «Запасы»), от 15.11.2019 №181н, №184н (соответственно СГС «Нематериальные активы», СГС «Выплаты персоналу»), от 30.06.2020 №129н СГС «Финансовые инструменты», от 16.12.2020г. №310н (СГС «Биологические активы»);</w:t>
      </w:r>
      <w:proofErr w:type="gramEnd"/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Федеральный закон от 22.10.2004 №125-ФЗ «Об архивном деле в Российской Федерации»;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Федеральный закон от 27.07.2006 №149-ФЗ «Об информации, информационных технологиях и о защите информации».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 Учётная политика учреждений осуществляется в соответствии с нормативными актами в области регулирования процесса закупок для государственных и муниципальных нужд: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Федеральный закон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4. Обработку первичных учётных документов, формирование регистров бухгалтерского учёта, а также отражение фактов хозяйственной жизни по соответствующим счетам Рабочего плана счетов осуществлять с применением бухгалтерского программного продукта 1С</w:t>
      </w:r>
      <w:proofErr w:type="gramStart"/>
      <w:r>
        <w:t>:П</w:t>
      </w:r>
      <w:proofErr w:type="gramEnd"/>
      <w:r>
        <w:t>редприятие – Бухгалтерия государственного учреждения, 1С: Зарплата и кадры бюджетного учреждения.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Основание: пункт 6 Инструкции к Единому плану счетов №157н.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5. Комплексная автоматизация бухгалтерского учёта в учреждениях основывается на сквозном технологическом процессе обработки и формирования учётной документации по всем разделам бухгалтерского и налогового учёта в единой базе данных с последующим автоматическим составлением отчётности на основании введённых данных.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6. Первичные учётные документы по услугам, выставленные поставщиком (исполнителем) в последний рабочий день отчётного периода на бумажном носителе, в рамках закупки по Федеральному закону №44-ФЗ, проведённые без формирования в ЕИС в сфере закупок документов о приёмке в электронном виде, но поступившие в учреждения в месяце, следующем </w:t>
      </w:r>
      <w:proofErr w:type="gramStart"/>
      <w:r>
        <w:t>за</w:t>
      </w:r>
      <w:proofErr w:type="gramEnd"/>
      <w:r>
        <w:t xml:space="preserve"> отчётным: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- за </w:t>
      </w:r>
      <w:proofErr w:type="gramStart"/>
      <w:r>
        <w:t>два и более рабочих</w:t>
      </w:r>
      <w:proofErr w:type="gramEnd"/>
      <w:r>
        <w:t xml:space="preserve"> дней до даты предоставления отчётности – отражаются предыдущим месяцем;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менее двух рабочих дней до даты предоставления отчётности – отражаются месяцем их поступления.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rPr>
          <w:color w:val="000000"/>
        </w:rPr>
        <w:t>7.</w:t>
      </w:r>
      <w:r>
        <w:rPr>
          <w:color w:val="548DD4"/>
        </w:rPr>
        <w:t xml:space="preserve"> </w:t>
      </w:r>
      <w:r>
        <w:t xml:space="preserve">В целях обеспечения сохранности электронных данных бухгалтерского учёта и отчётности на сервере базы данных ежедневно, еженедельно, ежемесячно, по итогам </w:t>
      </w:r>
      <w:r>
        <w:lastRenderedPageBreak/>
        <w:t xml:space="preserve">квартала и отчётного года производится сохранение резервных копий базы «Бухгалтерия государственного учреждения» и «Зарплата и кадры бюджетного учреждения». 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По итогам каждого календарного месяца бухгалтерские регистры, сформированные в электронном виде, распечатываются на бумажный носитель и подшиваются в отдельные папки в хронологическом порядке </w:t>
      </w:r>
      <w:r>
        <w:rPr>
          <w:b/>
        </w:rPr>
        <w:t>(Приложение №1)</w:t>
      </w:r>
      <w:r>
        <w:t>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Основание: пункт 19 Инструкции к Единому плану счетов №157н, пункт 33 СГС «Концептуальные основы бухгалтерского учёта и отчётности».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 8. С использованием телекоммуникационных каналов связи и электронной подписи бухгалтерия осуществляет электронный документооборот по следующим направлениям: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система электронного документооборота с территориальным органом Казначейства России;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передача отчетности по налогам, сборам и иным платежам в инспекцию Федеральной налоговой службы;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- передача  отчетности по страховым взносам и сведениям персонифицированного учета в отделение Социального Фонда России (СФР);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размещение информации о деятельности учреждения на официальном сайте bus.gov.ru;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- система электронного документооборота с контрагентами (поставщиками товаров, работ и услуг) в программе СБИС (системе бухгалтерского и складского учёта).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 Без надлежащего оформления первичных (сводных) учетных документов любые исправления (добавление новых записей) в электронных базах данных не допускается.        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 9. </w:t>
      </w:r>
      <w:proofErr w:type="gramStart"/>
      <w:r>
        <w:t>Для ведения бухгалтерского учета применяются формы первичных учетных документов и учетных регистров класса 03 «Унифицированная система первичной учетной документации» и класса 05 «Унифицированная система бухгалтерской финансовой, учетной и отчетной документации организаций государственного сектора», утвержденные Приказом Минфина России от 30.03.2015 № 52н «Об утверждении форм первичных учетных документов и регистров бухгалтерского учета, применяемых органами государственной власти, органами местного самоуправления, органами управления государственными</w:t>
      </w:r>
      <w:proofErr w:type="gramEnd"/>
      <w:r>
        <w:t xml:space="preserve"> внебюджетными фондами, государственными (муниципальными) учреждениям и Методических указаний по их применению».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10.Регистры бухгалтерского учёта оформляются: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на бумажных носителях;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виде электронных документов.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Заполнение регистров бухгалтерского учёта на бумажных носителях осуществляется при помощи программы 1С</w:t>
      </w:r>
      <w:proofErr w:type="gramStart"/>
      <w:r>
        <w:t>:П</w:t>
      </w:r>
      <w:proofErr w:type="gramEnd"/>
      <w:r>
        <w:t>редприятие с последующим выводом сформированных электронных регистров на печатающее устройство.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 Заполнение электронных регистров подписанных квалифицированной электронной подписью ведётся при помощи программы 1С</w:t>
      </w:r>
      <w:proofErr w:type="gramStart"/>
      <w:r>
        <w:t>:П</w:t>
      </w:r>
      <w:proofErr w:type="gramEnd"/>
      <w:r>
        <w:t xml:space="preserve">редприятие и в формате определённом этой программой. Перечень электронных регистров бухгалтерского учёта определён в </w:t>
      </w:r>
      <w:r>
        <w:rPr>
          <w:b/>
        </w:rPr>
        <w:t>Приложении №2</w:t>
      </w:r>
      <w:r>
        <w:t xml:space="preserve">. При необходимости изготовления бумажных копий электронных документов и регистров бухгалтерского учёта бумажные копии заверяются штампом, который проставляется автоматически при распечатке документа: «Документ подписан электронной подписью» с указанием сведений о сертификате электронной подписи – кому выдан и срок действия. 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11. Периодичность формирования используемых унифицируемых форм регистров бухгалтерского учета  осуществляется </w:t>
      </w:r>
      <w:proofErr w:type="gramStart"/>
      <w:r>
        <w:t xml:space="preserve">согласно </w:t>
      </w:r>
      <w:r>
        <w:rPr>
          <w:b/>
        </w:rPr>
        <w:t>Приложения</w:t>
      </w:r>
      <w:proofErr w:type="gramEnd"/>
      <w:r>
        <w:rPr>
          <w:b/>
        </w:rPr>
        <w:t xml:space="preserve"> №3</w:t>
      </w:r>
      <w:r>
        <w:t>.</w:t>
      </w:r>
    </w:p>
    <w:p w:rsidR="00CE4A70" w:rsidRDefault="00CE4A70" w:rsidP="00CE4A70">
      <w:pPr>
        <w:autoSpaceDE w:val="0"/>
        <w:autoSpaceDN w:val="0"/>
        <w:adjustRightInd w:val="0"/>
        <w:jc w:val="both"/>
        <w:rPr>
          <w:b/>
        </w:rPr>
      </w:pPr>
      <w:r>
        <w:t xml:space="preserve">         12. Журналам операций присваиваются номера </w:t>
      </w:r>
      <w:proofErr w:type="gramStart"/>
      <w:r>
        <w:t xml:space="preserve">согласно </w:t>
      </w:r>
      <w:r>
        <w:rPr>
          <w:b/>
        </w:rPr>
        <w:t>Приложения</w:t>
      </w:r>
      <w:proofErr w:type="gramEnd"/>
      <w:r>
        <w:rPr>
          <w:b/>
        </w:rPr>
        <w:t xml:space="preserve"> №4.  </w:t>
      </w:r>
      <w:r>
        <w:t xml:space="preserve">Журналы операций подписываются главным бухгалтером и бухгалтером, составившим журнал операций.        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13. Операции по учету, для которых отсутствуют формы первичных документов, оформляются в соответствии с требованиями п.1 ст.9 Федерального закона «О бухгалтерском учете» №402-ФЗ от 06.12.2011 самостоятельно разработанными формами документов  с обязательным указанием реквизитов: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       а) наименование регистра;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б) дата составления регистра;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в) наименование  субъекта учета, составившего регистр;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г) содержание факта хозяйственной жизни;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д) величина натурального и (или) денежного измерения факта хозяйственной жизни  с указанием   единиц измерения;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е) наименование должности лица, ответственного за ведение регистра;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ж) подписи ответственных лиц с расшифровкой подписи. 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14. Бухгалтерский учет финансовых и нефинансовых активов, обязательств ведется  с применением Рабочего плана счетов в соответствии с Инструкцией к Единому плану счетов №157н (</w:t>
      </w:r>
      <w:r>
        <w:rPr>
          <w:b/>
        </w:rPr>
        <w:t>Приложении №5).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15. При отражении в бухгалтерском учете хозяйственных операций 1-18 разряды номера счета Рабочего плана счетов формируется следующим образом: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разрядах с 1 по 4-й - аналитический код вида услуги, соответствующий коду раздела, подраздела классификации расходов бюджета (0701 «Дошкольное образование», 0709 «Другие вопросы в области образования»);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разрядах с 5 по 14-й – целевая статья;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-в разрядах с 15 по 17-й – код вида поступлений или выбытий, соответствующий аналитической группе подвида доходов бюджета или коду вида расходов, или аналитической группе вида источников финансирования;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18 разряде – код финансового обеспечения;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разрядах с 19 по 21-й – код синтетического счета Плана счетов бухгалтерского (бюджетного) учета;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разрядах с 22 по 23-й – код аналитического счета Плана счетов бухгалтерского (бюджетного) учета;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разрядах с 24 по 26-й – код классификации операций сектора государственного управления (КОСГУ).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16. В учреждениях бухгалтерский учет осуществляется раздельно в соответствии с утвержденной Бюджетной сметой и Планом финансово-хозяйственной деятельности по следующим кодам финансового обеспечения: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- 1 – деятельность, осуществляемая за счет средств соответствующего бюджета бюджетной системы Российской Федерации (бюджетная деятельность);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- 2 – приносящая доход деятельность (собственные доходы учреждения);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- 3 – средства во временном распоряжении;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- 4 – субсидии на выполнение государственного (муниципального) задания;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- 5 – субсидии на иные цели.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  <w:rPr>
          <w:b/>
        </w:rPr>
      </w:pPr>
      <w:r>
        <w:t xml:space="preserve">17. Перечень документов, сроки их предоставления ответственными лицами устанавливаются согласно утвержденному графику документооборота в </w:t>
      </w:r>
      <w:r>
        <w:rPr>
          <w:b/>
        </w:rPr>
        <w:t>Приложении №6.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Основание: пункт 22 СГС «Концептуальные основы бухгалтерского учёта и отчётности», подпункт «д» пункта 9 СГС «Учётная политика, оценочные значения и ошибки».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18. Использование выданных доверенностей на получение ТМЦ и представление отчетности по ним производится не позднее 10 календарных дней с момента получения материальных ценностей.</w:t>
      </w:r>
      <w:r>
        <w:rPr>
          <w:b/>
        </w:rPr>
        <w:t xml:space="preserve">          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Доверенности выдаются штатным сотрудникам, с которыми заключен договор о материальной ответственности.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19. К бухгалтерскому учету принимаются первичные учетные документы, которые проверены специалистами бухгалтерии в соответствии с положением «О внутреннем финансовом контроле».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lastRenderedPageBreak/>
        <w:t>Пакет первичных документов принимается к учету датой прохождения документации финансового контроля (в день получения первичных документов специалистами).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Внутренний финансовый контроль осуществляется комиссией по внутреннему контролю согласно положению</w:t>
      </w:r>
      <w:r>
        <w:rPr>
          <w:b/>
        </w:rPr>
        <w:t>. ( Приложение №7)</w:t>
      </w:r>
      <w:r>
        <w:t>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20. Главному бухгалтеру запрещается принимать к исполнению и оформлению документы по операциям, противоречащим законодательству и нарушающим договорную и финансовую дисциплину.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В случае возникновения разногласий между руководителем учреждения и главным бухгалтером по поводу осуществления отдельных хозяйственных операций, документы могут быть приняты или не приняты к исполнению с письменного распоряжения  руководителя организации.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21. </w:t>
      </w:r>
      <w:proofErr w:type="gramStart"/>
      <w:r>
        <w:t>Право подписи первичных учетных документов и регистров бухгалтерского учета (кассовых и банковских документов, документов по учету труда и заработной платы, авансовых отчетов, документов по операциям с материальными ресурсами, документов по учету основных средств, документов по расчетам с поставщиками и подрядчиками, актов выполненных работ, доверенностей на получение материальных ценностей, документов по учету результатов инвентаризации) имеют право:</w:t>
      </w:r>
      <w:proofErr w:type="gramEnd"/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за руководителя учреждения – заведующий;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за руководителя централизованной бухгалтерии - руководитель бухгалтерии;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за главного бухгалтера – главный бухгалтер, зам. главного бухгалтера;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-ответственные лица, выполняющие функции учета, хранения и выдачи материальных ценностей;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за исполнителя – лицо ответственное за исполнение данного документа.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Акты о списании основных средств, малоценных предметов, а также акты приемки-передачи основных средств и материалов подписываются постоянно действующей комиссией по принятию на учет и списанию основных средств, материальных запасов.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  <w:r>
        <w:rPr>
          <w:color w:val="000000"/>
        </w:rPr>
        <w:t>22. Получение наличных денежных средств  подотчет на хозяйственные цели имеют право все ответственные лица учреждений, с которыми заключен договор о материальной ответственности (</w:t>
      </w:r>
      <w:r>
        <w:rPr>
          <w:b/>
          <w:color w:val="000000"/>
        </w:rPr>
        <w:t>Приложение №8</w:t>
      </w:r>
      <w:r>
        <w:rPr>
          <w:color w:val="000000"/>
        </w:rPr>
        <w:t>). На компенсацию расходов, связанных со служебными разъездами имеют право все сотрудники учреждений.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  <w:r>
        <w:rPr>
          <w:color w:val="000000"/>
        </w:rPr>
        <w:t xml:space="preserve">23. </w:t>
      </w:r>
      <w:r>
        <w:rPr>
          <w:color w:val="000000"/>
          <w:shd w:val="clear" w:color="auto" w:fill="FFFFFF"/>
        </w:rPr>
        <w:t> В соответствии с п.1 ст.29 Федерального закона РФ от 06.12.2011 №402-ФЗ «О бухгалтерском учёте» первичные учетные документы, регистры бухгалтерского учета, бухгалтерская (финансовая) отчетность, аудиторские заключения  подлежат хранению не менее пяти лет после отчетного года. Лицевые счета</w:t>
      </w:r>
      <w:r>
        <w:rPr>
          <w:color w:val="000000"/>
        </w:rPr>
        <w:t xml:space="preserve"> по начислению заработной  платы подлежат хранению 75 лет</w:t>
      </w:r>
      <w:r>
        <w:rPr>
          <w:b/>
          <w:color w:val="000000"/>
        </w:rPr>
        <w:t xml:space="preserve"> (Приложение №9).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</w:p>
    <w:p w:rsidR="00202093" w:rsidRDefault="00202093">
      <w:bookmarkStart w:id="0" w:name="_GoBack"/>
      <w:bookmarkEnd w:id="0"/>
    </w:p>
    <w:sectPr w:rsidR="0020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A70"/>
    <w:rsid w:val="00202093"/>
    <w:rsid w:val="00C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A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A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C8FFD57329F7C146012AADBEC1CDB52F82816A012E83A6CF9D639389FDB102ABB586DF9A6F39FD3r1u3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8FFD57329F7C146012AADBEC1CDB52F82819A011EE3A6CF9D639389FDB102ABB586DF9A6F39FD3r1u7K" TargetMode="External"/><Relationship Id="rId5" Type="http://schemas.openxmlformats.org/officeDocument/2006/relationships/hyperlink" Target="consultantplus://offline/ref=7C8FFD57329F7C146012AADBEC1CDB52F82A1CA516E93A6CF9D639389FDB102ABB586DF9A6F39FD1r1u8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PC-03</dc:creator>
  <cp:lastModifiedBy>PC-03</cp:lastModifiedBy>
  <cp:revision>1</cp:revision>
  <dcterms:created xsi:type="dcterms:W3CDTF">2024-12-09T12:29:00Z</dcterms:created>
  <dcterms:modified xsi:type="dcterms:W3CDTF">2024-12-09T12:30:00Z</dcterms:modified>
</cp:coreProperties>
</file>