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A70" w:rsidRDefault="00CE4A70" w:rsidP="00CE4A70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>Положение об учетной политике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 xml:space="preserve">Муниципального учреждения «Централизованная бухгалтерия 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 xml:space="preserve">детских учреждений образования 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</w:pPr>
      <w:r>
        <w:t>администрации городского округа Кинешма»</w:t>
      </w:r>
    </w:p>
    <w:p w:rsidR="00CE4A70" w:rsidRDefault="00CE4A70" w:rsidP="00CE4A7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 xml:space="preserve">. Общие положения по организации и ведению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бухгалтерского учета.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1. Ведение бухгалтерского учета и хранение документов бухгалтерского учёта   организуются руководителем учреждения (ст.</w:t>
      </w:r>
      <w:hyperlink r:id="rId4" w:history="1">
        <w:r>
          <w:rPr>
            <w:rStyle w:val="a3"/>
            <w:color w:val="auto"/>
            <w:u w:val="none"/>
          </w:rPr>
          <w:t>7</w:t>
        </w:r>
      </w:hyperlink>
      <w:r>
        <w:t xml:space="preserve"> Закона №402-ФЗ).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2. Ведение бухгалтерского учета осуществляется централизованной  бухгалтерией, возглавляемой руководителем МУ «ЦБ детских учреждений образования», на основании договора на бухгалтерское обслуживание. Сотрудники бухгалтерии руководствуются в работе Уставом и должностными инструкциями.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Ответственным за ведение бухгалтерского учета является главный бухгалтер.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3. Бухгалтерский учет в учреждениях ведется в соответствии с нормативными актами и разъяснениями, такими как: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Бюджетный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Гражданский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Налоговый кодекс Российской Федерации (с изменениями и дополнениями);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06 декабря 2011 №402-ФЗ «О бухгалтерском учете»;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Приказ Минфина России от 01.12.2010 №157н «Об утверждении Единого </w:t>
      </w:r>
      <w:hyperlink r:id="rId5" w:history="1">
        <w:r>
          <w:rPr>
            <w:rStyle w:val="a3"/>
            <w:color w:val="auto"/>
            <w:u w:val="none"/>
          </w:rPr>
          <w:t>плана</w:t>
        </w:r>
      </w:hyperlink>
      <w:r>
        <w:t xml:space="preserve">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Приказ Минфина России от 06.12.2010 №162н «Об утверждении </w:t>
      </w:r>
      <w:hyperlink r:id="rId6" w:history="1">
        <w:r>
          <w:rPr>
            <w:rStyle w:val="a3"/>
            <w:color w:val="auto"/>
            <w:u w:val="none"/>
          </w:rPr>
          <w:t>Плана</w:t>
        </w:r>
      </w:hyperlink>
      <w:r>
        <w:t xml:space="preserve"> счетов бюджетного учета и Инструкции по его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16.12.2010 №174н «Об утверждении Плана счетов бухгалтерского учёта бюджетных учреждений и Инструкции по его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Министерства Финансов Российской Федерации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06.04.2011 №63-ФЗ «Об электронной подписи»;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29.11.2017 №209н «Об утверждении Порядка применения классификации операций сектора государственного управления»;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28.12.2010 №191н «Об утверждении Инструкции о порядке составления и предоставления годовой, квартальной и месячной отчётности об исполнении бюджетов бюджетной системы Российской Федерации»;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lastRenderedPageBreak/>
        <w:t>- Приказ Минфина России от 25.03.2011 №33н «Об утверждении Инструкции о порядке составления, предоставления годовой, квартальной бухгалтерской отчётности государственных (муниципальных) бюджетных и автономных учреждений»;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Приказ Минфина России от 31.08.2018 №186н «О требованиях к составлению и утверждению плана финансово-хозяйственной деятельности государственного (муниципального) учреждения»;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Федеральные стандарты бухгалтерского учета для организаций государственного сектора, утвержденные приказами Минфина России от 31.12.2016 №256н, №257н, №258н, №259н, №260н (соответственно Стандарт «Концептуальные основы бухгалтерского учета и отчетности организаций государственного сектора», Стандарт «Основные средства», Стандарт «Аренда», Стандарт «Обесценение активов», Стандарт «Предоставление бухгалтерской (финансовой) отчетности»), от 30.12.2017 №274н, №275н, №277н,  №278н (соответственно СГС «Учётная политика, оценочные значения и ошибки», СГС «События после отчётной даты», СГС «Информация о связанных сторонах», СГС «Отчёт о движении денежных средств»), от 27.02.2018 №32н (СГС «Доходы»), от 28.02.2018 №34н, №37н (соответственно СГС «Непроизведённые активы», СГС «Бюджетная информация в бухгалтерской (финансовой) отчётности»), от 30.05.2018 №124н (СГС «Резервы. Раскрытие информации об условных обязательствах и условных активах»), от 07.12.2018 №256н (СГС «Запасы»), от 15.11.2019 №181н, №184н (соответственно СГС «Нематериальные активы», СГС «Выплаты персоналу»), от 30.06.2020 №129н СГС «Финансовые инструменты», от 16.12.2020г. №310н (СГС «Биологические активы»);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22.10.2004 №125-ФЗ «Об архивном деле в Российской Федерации»;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27.07.2006 №149-ФЗ «Об информации, информационных технологиях и о защите информации».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Учётная политика учреждений осуществляется в соответствии с нормативными актами в области регулирования процесса закупок для государственных и муниципальных нужд: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Федеральный закон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4. Обработку первичных учётных документов, формирование регистров бухгалтерского учёта, а также отражение фактов хозяйственной жизни по соответствующим счетам Рабочего плана счетов осуществлять с применением бухгалтерского программного продукта 1</w:t>
      </w:r>
      <w:proofErr w:type="gramStart"/>
      <w:r>
        <w:t>С:Предприятие</w:t>
      </w:r>
      <w:proofErr w:type="gramEnd"/>
      <w:r>
        <w:t xml:space="preserve"> – Бухгалтерия государственного учреждения, 1С: Зарплата и кадры бюджетного учреждения.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6 Инструкции к Единому плану счетов №157н.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5. Комплексная автоматизация бухгалтерского учёта в учреждениях основывается на сквозном технологическом процессе обработки и формирования учётной документации по всем разделам бухгалтерского и налогового учёта в единой базе данных с последующим автоматическим составлением отчётности на основании введённых данных.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6. Первичные учётные документы по услугам, выставленные поставщиком (исполнителем) в последний рабочий день отчётного периода на бумажном носителе, в рамках закупки по Федеральному закону №44-ФЗ, проведённые без формирования в ЕИС в сфере закупок документов о приёмке в электронном виде, но поступившие в учреждения в месяце, следующем за отчётным: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два и более рабочих дней до даты предоставления отчётности – отражаются предыдущим месяцем;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менее двух рабочих дней до даты предоставления отчётности – отражаются месяцем их поступления.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>7.</w:t>
      </w:r>
      <w:r>
        <w:rPr>
          <w:color w:val="548DD4"/>
        </w:rPr>
        <w:t xml:space="preserve"> </w:t>
      </w:r>
      <w:r>
        <w:t xml:space="preserve">В целях обеспечения сохранности электронных данных бухгалтерского учёта и отчётности на сервере базы данных ежедневно, еженедельно, ежемесячно, по итогам </w:t>
      </w:r>
      <w:r>
        <w:lastRenderedPageBreak/>
        <w:t xml:space="preserve">квартала и отчётного года производится сохранение резервных копий базы «Бухгалтерия государственного учреждения» и «Зарплата и кадры бюджетного учреждения».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 </w:t>
      </w:r>
      <w:r>
        <w:rPr>
          <w:b/>
        </w:rPr>
        <w:t>(Приложение №1)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19 Инструкции к Единому плану счетов №157н, пункт 33 СГС «Концептуальные основы бухгалтерского учёта и отчётности».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8. С использованием телекоммуникационных каналов связи и электронной подписи бухгалтерия осуществляет электронный документооборот по следующим направлениям: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система электронного документооборота с территориальным органом Казначейства России;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передача отчетности по налогам, сборам и иным платежам в инспекцию Федеральной налоговой службы;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передача  отчетности по страховым взносам и сведениям персонифицированного учета в отделение Социального Фонда России (СФР);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размещение информации о деятельности учреждения на официальном сайте bus.gov.ru;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- система электронного документооборота с контрагентами (поставщиками товаров, работ и услуг) в программе СБИС (системе бухгалтерского и складского учёта).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Без надлежащего оформления первичных (сводных) учетных документов любые исправления (добавление новых записей) в электронных базах данных не допускается.        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9. Для ведения бухгалтерского учета применяются формы первичных учетных документов и учетных регистров класса 03 «Унифицированная система первичной учетной документации» и класса 05 «Унифицированная система бухгалтерской финансовой, учетной и отчетной документации организаций государственного сектора», утвержденные Приказом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власти, органами местного самоуправления, органами управления государственными внебюджетными фондами, государственными (муниципальными) учреждениям и Методических указаний по их применению».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10.Регистры бухгалтерского учёта оформляются: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на бумажных носителях;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виде электронных документов.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Заполнение регистров бухгалтерского учёта на бумажных носителях осуществляется при помощи программы 1</w:t>
      </w:r>
      <w:proofErr w:type="gramStart"/>
      <w:r>
        <w:t>С:Предприятие</w:t>
      </w:r>
      <w:proofErr w:type="gramEnd"/>
      <w:r>
        <w:t xml:space="preserve"> с последующим выводом сформированных электронных регистров на печатающее устройство.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 Заполнение электронных регистров подписанных квалифицированной электронной подписью ведётся при помощи программы 1</w:t>
      </w:r>
      <w:proofErr w:type="gramStart"/>
      <w:r>
        <w:t>С:Предприятие</w:t>
      </w:r>
      <w:proofErr w:type="gramEnd"/>
      <w:r>
        <w:t xml:space="preserve"> и в формате определённом этой программой. Перечень электронных регистров бухгалтерского учёта определён в </w:t>
      </w:r>
      <w:r>
        <w:rPr>
          <w:b/>
        </w:rPr>
        <w:t>Приложении №2</w:t>
      </w:r>
      <w:r>
        <w:t xml:space="preserve">. При необходимости изготовления бумажных копий электронных документов и регистров бухгалтерского учёта бумажные копии заверяются штампом, который проставляется автоматически при распечатке документа: «Документ подписан электронной подписью» с указанием сведений о сертификате электронной подписи – кому выдан и срок действия.  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11. Периодичность формирования используемых унифицируемых форм регистров бухгалтерского </w:t>
      </w:r>
      <w:proofErr w:type="gramStart"/>
      <w:r>
        <w:t>учета  осуществляется</w:t>
      </w:r>
      <w:proofErr w:type="gramEnd"/>
      <w:r>
        <w:t xml:space="preserve"> согласно </w:t>
      </w:r>
      <w:r>
        <w:rPr>
          <w:b/>
        </w:rPr>
        <w:t>Приложения №3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jc w:val="both"/>
        <w:rPr>
          <w:b/>
        </w:rPr>
      </w:pPr>
      <w:r>
        <w:t xml:space="preserve">         12. Журналам операций присваиваются номера согласно </w:t>
      </w:r>
      <w:r>
        <w:rPr>
          <w:b/>
        </w:rPr>
        <w:t xml:space="preserve">Приложения №4.  </w:t>
      </w:r>
      <w:r>
        <w:t xml:space="preserve">Журналы операций подписываются главным бухгалтером и бухгалтером, составившим журнал операций.       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13. Операции по учету, для которых отсутствуют формы первичных документов, оформляются в соответствии с требованиями п.1 ст.9 Федерального закона «О бухгалтерском учете» №402-ФЗ от 06.12.2011 самостоятельно разработанными формами документов  с обязательным указанием реквизитов: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       а) наименование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б) дата составления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в) наименование  субъекта учета, составившего регистр;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г) содержание факта хозяйственной жизни;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д) величина натурального и (или) денежного измерения факта хозяйственной жизни  с указанием   единиц измерения;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е) наименование должности лица, ответственного за ведение регистра;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 xml:space="preserve">       ж) подписи ответственных лиц с расшифровкой подписи.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14. Бухгалтерский учет финансовых и нефинансовых активов, обязательств ведется  с применением Рабочего плана счетов в соответствии с Инструкцией к Единому плану счетов №157н (</w:t>
      </w:r>
      <w:r>
        <w:rPr>
          <w:b/>
        </w:rPr>
        <w:t>Приложении №5).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15. При отражении в бухгалтерском учете хозяйственных операций 1-18 разряды номера счета Рабочего плана счетов формируется следующим образом: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1 по 4-й - аналитический код вида услуги, соответствующий коду раздела, подраздела классификации расходов бюджета (0701 «Дошкольное образование», 0709 «Другие вопросы в области образования»);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5 по 14-й – целевая статья;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-в разрядах с 15 по 17-й – код вида поступлений или выбытий, соответствующий аналитической группе подвида доходов бюджета или коду вида расходов, или аналитической группе вида источников финансирования;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18 разряде – код финансового обеспечения;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19 по 21-й – код синтетического счета Плана счетов бухгалтерского (бюджетного) учета;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22 по 23-й – код аналитического счета Плана счетов бухгалтерского (бюджетного) учета;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в разрядах с 24 по 26-й – код классификации операций сектора государственного управления (КОСГУ).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 16. В учреждениях бухгалтерский учет осуществляется раздельно в соответствии с утвержденной Бюджетной сметой и Планом финансово-хозяйственной деятельности по следующим кодам финансового обеспечения: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- 1 – деятельность, осуществляемая за счет средств соответствующего бюджета бюджетной системы Российской Федерации (бюджетная деятельность);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- 2 – приносящая доход деятельность (собственные доходы учреждения);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- 3 – средства во временном распоряжении;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- 4 – субсидии на выполнение государственного (муниципального) задания;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>- 5 – субсидии на иные цели.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</w:rPr>
      </w:pPr>
      <w:r>
        <w:t xml:space="preserve">17. Перечень документов, сроки их предоставления ответственными лицами устанавливаются согласно утвержденному графику документооборота в </w:t>
      </w:r>
      <w:r>
        <w:rPr>
          <w:b/>
        </w:rPr>
        <w:t>Приложении №6.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Основание: пункт 22 СГС «Концептуальные основы бухгалтерского учёта и отчётности», подпункт «д» пункта 9 СГС «Учётная политика, оценочные значения и ошибки».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18. Использование выданных доверенностей на получение ТМЦ и представление отчетности по ним производится не позднее 10 календарных дней с момента получения материальных ценностей.</w:t>
      </w:r>
      <w:r>
        <w:rPr>
          <w:b/>
        </w:rPr>
        <w:t xml:space="preserve">          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Доверенности выдаются штатным сотрудникам, с которыми заключен договор о материальной ответственности.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19. К бухгалтерскому учету принимаются первичные учетные документы, которые проверены специалистами бухгалтерии в соответствии с положением «О внутреннем финансовом контроле».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lastRenderedPageBreak/>
        <w:t>Пакет первичных документов принимается к учету датой прохождения документации финансового контроля (в день получения первичных документов специалистами).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Внутренний финансовый контроль осуществляется комиссией по внутреннему контролю согласно положению</w:t>
      </w:r>
      <w:r>
        <w:rPr>
          <w:b/>
        </w:rPr>
        <w:t>. ( Приложение №7)</w:t>
      </w:r>
      <w:r>
        <w:t>.</w:t>
      </w:r>
    </w:p>
    <w:p w:rsidR="00CE4A70" w:rsidRDefault="00CE4A70" w:rsidP="00CE4A70">
      <w:pPr>
        <w:autoSpaceDE w:val="0"/>
        <w:autoSpaceDN w:val="0"/>
        <w:adjustRightInd w:val="0"/>
        <w:jc w:val="both"/>
      </w:pPr>
      <w:r>
        <w:t xml:space="preserve">        20. Главному бухгалтеру запрещается принимать к исполнению и оформлению документы по операциям, противоречащим законодательству и нарушающим договорную и финансовую дисциплину.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В случае возникновения разногласий между руководителем учреждения и главным бухгалтером по поводу осуществления отдельных хозяйственных операций, документы могут быть приняты или не приняты к исполнению с письменного распоряжения  руководителя организации.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21. Право подписи первичных учетных документов и регистров бухгалтерского учета (кассовых и банковских документов, документов по учету труда и заработной платы, авансовых отчетов, документов по операциям с материальными ресурсами, документов по учету основных средств, документов по расчетам с поставщиками и подрядчиками, актов выполненных работ, доверенностей на получение материальных ценностей, документов по учету результатов инвентаризации) имеют право: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руководителя учреждения – заведующий;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руководителя централизованной бухгалтерии - руководитель бухгалтерии;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главного бухгалтера – главный бухгалтер, зам. главного бухгалтера;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-ответственные лица, выполняющие функции учета, хранения и выдачи материальных ценностей;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- за исполнителя – лицо ответственное за исполнение данного документа.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  <w:r>
        <w:t>Акты о списании основных средств, малоценных предметов, а также акты приемки-передачи основных средств и материалов подписываются постоянно действующей комиссией по принятию на учет и списанию основных средств, материальных запасов.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>
        <w:rPr>
          <w:color w:val="000000"/>
        </w:rPr>
        <w:t>22. Получение наличных денежных средств  подотчет на хозяйственные цели имеют право все ответственные лица учреждений, с которыми заключен договор о материальной ответственности (</w:t>
      </w:r>
      <w:r>
        <w:rPr>
          <w:b/>
          <w:color w:val="000000"/>
        </w:rPr>
        <w:t>Приложение №8</w:t>
      </w:r>
      <w:r>
        <w:rPr>
          <w:color w:val="000000"/>
        </w:rPr>
        <w:t>). На компенсацию расходов, связанных со служебными разъездами имеют право все сотрудники учреждений.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  <w:r>
        <w:rPr>
          <w:color w:val="000000"/>
        </w:rPr>
        <w:t xml:space="preserve">23. </w:t>
      </w:r>
      <w:r>
        <w:rPr>
          <w:color w:val="000000"/>
          <w:shd w:val="clear" w:color="auto" w:fill="FFFFFF"/>
        </w:rPr>
        <w:t> В соответствии с п.1 ст.29 Федерального закона РФ от 06.12.2011 №402-ФЗ «О бухгалтерском учёте» первичные учетные документы, регистры бухгалтерского учета, бухгалтерская (финансовая) отчетность, аудиторские заключения  подлежат хранению не менее пяти лет после отчетного года. Лицевые счета</w:t>
      </w:r>
      <w:r>
        <w:rPr>
          <w:color w:val="000000"/>
        </w:rPr>
        <w:t xml:space="preserve"> по начислению заработной  платы подлежат хранению 75 лет</w:t>
      </w:r>
      <w:r>
        <w:rPr>
          <w:b/>
          <w:color w:val="000000"/>
        </w:rPr>
        <w:t xml:space="preserve"> (Приложение №9).</w:t>
      </w: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CE4A70" w:rsidRDefault="00CE4A70" w:rsidP="00CE4A70">
      <w:pPr>
        <w:autoSpaceDE w:val="0"/>
        <w:autoSpaceDN w:val="0"/>
        <w:adjustRightInd w:val="0"/>
        <w:ind w:firstLine="540"/>
        <w:jc w:val="both"/>
      </w:pPr>
    </w:p>
    <w:p w:rsidR="00202093" w:rsidRDefault="00202093"/>
    <w:sectPr w:rsidR="0020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70"/>
    <w:rsid w:val="00202093"/>
    <w:rsid w:val="00544923"/>
    <w:rsid w:val="00C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8782-20EC-4D33-ACEB-4D5A520C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8FFD57329F7C146012AADBEC1CDB52F82816A012E83A6CF9D639389FDB102ABB586DF9A6F39FD3r1u3K" TargetMode="External"/><Relationship Id="rId5" Type="http://schemas.openxmlformats.org/officeDocument/2006/relationships/hyperlink" Target="consultantplus://offline/ref=7C8FFD57329F7C146012AADBEC1CDB52F82819A011EE3A6CF9D639389FDB102ABB586DF9A6F39FD3r1u7K" TargetMode="External"/><Relationship Id="rId4" Type="http://schemas.openxmlformats.org/officeDocument/2006/relationships/hyperlink" Target="consultantplus://offline/ref=7C8FFD57329F7C146012AADBEC1CDB52F82A1CA516E93A6CF9D639389FDB102ABB586DF9A6F39FD1r1u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PC-03</dc:creator>
  <cp:lastModifiedBy>Детский сад</cp:lastModifiedBy>
  <cp:revision>2</cp:revision>
  <dcterms:created xsi:type="dcterms:W3CDTF">2024-12-10T11:32:00Z</dcterms:created>
  <dcterms:modified xsi:type="dcterms:W3CDTF">2024-12-10T11:32:00Z</dcterms:modified>
</cp:coreProperties>
</file>